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7C" w:rsidRDefault="0028707C" w:rsidP="0028707C">
      <w:pPr>
        <w:pStyle w:val="Heading1"/>
      </w:pPr>
      <w:bookmarkStart w:id="0" w:name="_Toc473191793"/>
      <w:r>
        <w:t>Table 1.1 Does your institution offer permanent staff positions similar to postdocs but with greater pay and stability?</w:t>
      </w:r>
      <w:bookmarkEnd w:id="0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81"/>
        <w:gridCol w:w="1920"/>
        <w:gridCol w:w="1925"/>
        <w:gridCol w:w="1925"/>
        <w:gridCol w:w="1925"/>
      </w:tblGrid>
      <w:tr w:rsidR="0028707C" w:rsidRPr="00505659" w:rsidTr="00C865AC">
        <w:tc>
          <w:tcPr>
            <w:tcW w:w="4258" w:type="dxa"/>
          </w:tcPr>
          <w:p w:rsidR="0028707C" w:rsidRPr="00505659" w:rsidRDefault="0028707C" w:rsidP="00C865AC">
            <w:r w:rsidRPr="00505659">
              <w:t xml:space="preserve"> 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4258" w:type="dxa"/>
          </w:tcPr>
          <w:p w:rsidR="0028707C" w:rsidRPr="00505659" w:rsidRDefault="0028707C" w:rsidP="00C865AC">
            <w:r w:rsidRPr="00505659">
              <w:t>Entire sample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505659">
              <w:t>3.49%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505659">
              <w:t>22.09%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505659">
              <w:t>60.47%</w:t>
            </w:r>
          </w:p>
        </w:tc>
        <w:tc>
          <w:tcPr>
            <w:tcW w:w="4258" w:type="dxa"/>
          </w:tcPr>
          <w:p w:rsidR="0028707C" w:rsidRPr="00505659" w:rsidRDefault="0028707C" w:rsidP="00C865AC">
            <w:r w:rsidRPr="00505659">
              <w:t>13.95%</w:t>
            </w:r>
          </w:p>
        </w:tc>
      </w:tr>
    </w:tbl>
    <w:p w:rsidR="0028707C" w:rsidRDefault="0028707C" w:rsidP="0028707C"/>
    <w:p w:rsidR="0028707C" w:rsidRDefault="0028707C" w:rsidP="0028707C"/>
    <w:p w:rsidR="0028707C" w:rsidRDefault="0028707C" w:rsidP="0028707C">
      <w:pPr>
        <w:pStyle w:val="Heading1"/>
      </w:pPr>
      <w:bookmarkStart w:id="1" w:name="_Toc473191794"/>
      <w:r>
        <w:t>Table 1.2 Does your institution offer permanent staff positions similar to postdocs but with greater pay and stability? Broken out by Country</w:t>
      </w:r>
      <w:bookmarkEnd w:id="1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35"/>
        <w:gridCol w:w="1906"/>
        <w:gridCol w:w="1910"/>
        <w:gridCol w:w="1910"/>
        <w:gridCol w:w="1910"/>
      </w:tblGrid>
      <w:tr w:rsidR="0028707C" w:rsidRPr="00505659" w:rsidTr="00C865AC">
        <w:tc>
          <w:tcPr>
            <w:tcW w:w="1935" w:type="dxa"/>
          </w:tcPr>
          <w:p w:rsidR="0028707C" w:rsidRPr="00505659" w:rsidRDefault="0028707C" w:rsidP="00C865AC">
            <w:r w:rsidRPr="00505659">
              <w:t>Country</w:t>
            </w:r>
          </w:p>
        </w:tc>
        <w:tc>
          <w:tcPr>
            <w:tcW w:w="1906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1935" w:type="dxa"/>
          </w:tcPr>
          <w:p w:rsidR="0028707C" w:rsidRPr="00505659" w:rsidRDefault="0028707C" w:rsidP="00C865AC">
            <w:r>
              <w:t>USA</w:t>
            </w:r>
          </w:p>
        </w:tc>
        <w:tc>
          <w:tcPr>
            <w:tcW w:w="1906" w:type="dxa"/>
          </w:tcPr>
          <w:p w:rsidR="0028707C" w:rsidRPr="00505659" w:rsidRDefault="0028707C" w:rsidP="00C865AC">
            <w:r w:rsidRPr="00505659">
              <w:t>1.92%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26.92%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57.69%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13.46%</w:t>
            </w:r>
          </w:p>
        </w:tc>
      </w:tr>
      <w:tr w:rsidR="0028707C" w:rsidRPr="00505659" w:rsidTr="00C865AC">
        <w:tc>
          <w:tcPr>
            <w:tcW w:w="1935" w:type="dxa"/>
          </w:tcPr>
          <w:p w:rsidR="0028707C" w:rsidRPr="00505659" w:rsidRDefault="0028707C" w:rsidP="00C865AC">
            <w:r>
              <w:t>UK</w:t>
            </w:r>
          </w:p>
        </w:tc>
        <w:tc>
          <w:tcPr>
            <w:tcW w:w="1906" w:type="dxa"/>
          </w:tcPr>
          <w:p w:rsidR="0028707C" w:rsidRPr="00505659" w:rsidRDefault="0028707C" w:rsidP="00C865AC">
            <w:r w:rsidRPr="00505659">
              <w:t>5.26%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21.05%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68.42%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5.26%</w:t>
            </w:r>
          </w:p>
        </w:tc>
      </w:tr>
      <w:tr w:rsidR="0028707C" w:rsidRPr="00505659" w:rsidTr="00C865AC">
        <w:tc>
          <w:tcPr>
            <w:tcW w:w="1935" w:type="dxa"/>
          </w:tcPr>
          <w:p w:rsidR="0028707C" w:rsidRPr="00505659" w:rsidRDefault="0028707C" w:rsidP="00C865AC">
            <w:r>
              <w:t>Other</w:t>
            </w:r>
          </w:p>
        </w:tc>
        <w:tc>
          <w:tcPr>
            <w:tcW w:w="1906" w:type="dxa"/>
          </w:tcPr>
          <w:p w:rsidR="0028707C" w:rsidRPr="00505659" w:rsidRDefault="0028707C" w:rsidP="00C865AC">
            <w:r w:rsidRPr="00505659">
              <w:t>6.67%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6.67%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60.00%</w:t>
            </w:r>
          </w:p>
        </w:tc>
        <w:tc>
          <w:tcPr>
            <w:tcW w:w="1910" w:type="dxa"/>
          </w:tcPr>
          <w:p w:rsidR="0028707C" w:rsidRPr="00505659" w:rsidRDefault="0028707C" w:rsidP="00C865AC">
            <w:r w:rsidRPr="00505659">
              <w:t>26.67%</w:t>
            </w:r>
          </w:p>
        </w:tc>
      </w:tr>
    </w:tbl>
    <w:p w:rsidR="0028707C" w:rsidRDefault="0028707C" w:rsidP="0028707C"/>
    <w:p w:rsidR="0028707C" w:rsidRDefault="0028707C" w:rsidP="0028707C"/>
    <w:p w:rsidR="0028707C" w:rsidRDefault="0028707C" w:rsidP="0028707C">
      <w:pPr>
        <w:pStyle w:val="Heading1"/>
      </w:pPr>
      <w:bookmarkStart w:id="2" w:name="_Toc473191795"/>
      <w:r>
        <w:t>Table 1.3 Does your institution offer permanent staff positions similar to postdocs but with greater pay and stability? Broken out for public and private higher education institutions</w:t>
      </w:r>
      <w:bookmarkEnd w:id="2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79"/>
        <w:gridCol w:w="1870"/>
        <w:gridCol w:w="1874"/>
        <w:gridCol w:w="1874"/>
        <w:gridCol w:w="1874"/>
      </w:tblGrid>
      <w:tr w:rsidR="0028707C" w:rsidRPr="00505659" w:rsidTr="00C865AC">
        <w:tc>
          <w:tcPr>
            <w:tcW w:w="2079" w:type="dxa"/>
          </w:tcPr>
          <w:p w:rsidR="0028707C" w:rsidRPr="00505659" w:rsidRDefault="0028707C" w:rsidP="00C865AC">
            <w:r w:rsidRPr="00505659">
              <w:t>Is your institution a public or private college?</w:t>
            </w:r>
          </w:p>
        </w:tc>
        <w:tc>
          <w:tcPr>
            <w:tcW w:w="1870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2079" w:type="dxa"/>
          </w:tcPr>
          <w:p w:rsidR="0028707C" w:rsidRPr="00505659" w:rsidRDefault="0028707C" w:rsidP="00C865AC">
            <w:r>
              <w:t xml:space="preserve">Public </w:t>
            </w:r>
          </w:p>
        </w:tc>
        <w:tc>
          <w:tcPr>
            <w:tcW w:w="1870" w:type="dxa"/>
          </w:tcPr>
          <w:p w:rsidR="0028707C" w:rsidRPr="00505659" w:rsidRDefault="0028707C" w:rsidP="00C865AC">
            <w:r w:rsidRPr="00505659">
              <w:t>5.26%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505659">
              <w:t>14.04%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505659">
              <w:t>64.91%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505659">
              <w:t>15.79%</w:t>
            </w:r>
          </w:p>
        </w:tc>
      </w:tr>
      <w:tr w:rsidR="0028707C" w:rsidRPr="00505659" w:rsidTr="00C865AC">
        <w:tc>
          <w:tcPr>
            <w:tcW w:w="2079" w:type="dxa"/>
          </w:tcPr>
          <w:p w:rsidR="0028707C" w:rsidRPr="00505659" w:rsidRDefault="0028707C" w:rsidP="00C865AC">
            <w:r>
              <w:t>Private</w:t>
            </w:r>
          </w:p>
        </w:tc>
        <w:tc>
          <w:tcPr>
            <w:tcW w:w="1870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505659">
              <w:t>37.93%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505659">
              <w:t>51.72%</w:t>
            </w:r>
          </w:p>
        </w:tc>
        <w:tc>
          <w:tcPr>
            <w:tcW w:w="1874" w:type="dxa"/>
          </w:tcPr>
          <w:p w:rsidR="0028707C" w:rsidRPr="00505659" w:rsidRDefault="0028707C" w:rsidP="00C865AC">
            <w:r w:rsidRPr="00505659">
              <w:t>10.34%</w:t>
            </w:r>
          </w:p>
        </w:tc>
      </w:tr>
    </w:tbl>
    <w:p w:rsidR="0028707C" w:rsidRDefault="0028707C" w:rsidP="0028707C"/>
    <w:p w:rsidR="0028707C" w:rsidRDefault="0028707C" w:rsidP="0028707C"/>
    <w:p w:rsidR="0028707C" w:rsidRDefault="0028707C" w:rsidP="0028707C">
      <w:pPr>
        <w:pStyle w:val="Heading1"/>
      </w:pPr>
      <w:bookmarkStart w:id="3" w:name="_Toc473191796"/>
      <w:r>
        <w:t>Table 1.4 Does your institution offer permanent staff positions similar to postdocs but with greater pay and stability? Broken out by Specialization</w:t>
      </w:r>
      <w:bookmarkEnd w:id="3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125"/>
        <w:gridCol w:w="1584"/>
        <w:gridCol w:w="1584"/>
        <w:gridCol w:w="1694"/>
        <w:gridCol w:w="1584"/>
      </w:tblGrid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>
              <w:t>Specialization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>
              <w:t>Immunology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505659">
              <w:t>100.00%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0.00%</w:t>
            </w:r>
          </w:p>
        </w:tc>
      </w:tr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>
              <w:t xml:space="preserve">Neuroscience/Psychology 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38.46%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505659">
              <w:t>46.15%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15.38%</w:t>
            </w:r>
          </w:p>
        </w:tc>
      </w:tr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 w:rsidRPr="008E4F35">
              <w:lastRenderedPageBreak/>
              <w:t>Cell/Molecular Biology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3.57%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17.86%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505659">
              <w:t>67.86%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10.71%</w:t>
            </w:r>
          </w:p>
        </w:tc>
      </w:tr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 w:rsidRPr="008E4F35">
              <w:t>Healthcare Delivery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12.50%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12.50%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505659">
              <w:t>50.00%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25.00%</w:t>
            </w:r>
          </w:p>
        </w:tc>
      </w:tr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>
              <w:t>Chemistry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28.57%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505659">
              <w:t>57.14%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14.29%</w:t>
            </w:r>
          </w:p>
        </w:tc>
      </w:tr>
      <w:tr w:rsidR="0028707C" w:rsidRPr="00505659" w:rsidTr="00C865AC">
        <w:tc>
          <w:tcPr>
            <w:tcW w:w="3125" w:type="dxa"/>
          </w:tcPr>
          <w:p w:rsidR="0028707C" w:rsidRPr="00505659" w:rsidRDefault="0028707C" w:rsidP="00C865AC">
            <w:r>
              <w:t>Other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4.17%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25.00%</w:t>
            </w:r>
          </w:p>
        </w:tc>
        <w:tc>
          <w:tcPr>
            <w:tcW w:w="1694" w:type="dxa"/>
          </w:tcPr>
          <w:p w:rsidR="0028707C" w:rsidRPr="00505659" w:rsidRDefault="0028707C" w:rsidP="00C865AC">
            <w:r w:rsidRPr="00505659">
              <w:t>54.17%</w:t>
            </w:r>
          </w:p>
        </w:tc>
        <w:tc>
          <w:tcPr>
            <w:tcW w:w="1584" w:type="dxa"/>
          </w:tcPr>
          <w:p w:rsidR="0028707C" w:rsidRPr="00505659" w:rsidRDefault="0028707C" w:rsidP="00C865AC">
            <w:r w:rsidRPr="00505659">
              <w:t>16.67%</w:t>
            </w:r>
          </w:p>
        </w:tc>
      </w:tr>
    </w:tbl>
    <w:p w:rsidR="0028707C" w:rsidRDefault="0028707C" w:rsidP="0028707C"/>
    <w:p w:rsidR="0028707C" w:rsidRDefault="0028707C" w:rsidP="0028707C"/>
    <w:p w:rsidR="0028707C" w:rsidRDefault="0028707C" w:rsidP="0028707C">
      <w:pPr>
        <w:pStyle w:val="Heading1"/>
      </w:pPr>
      <w:bookmarkStart w:id="4" w:name="_Toc473191797"/>
      <w:r>
        <w:t>Table 1.5 Does your institution offer permanent staff positions similar to postdocs but with greater pay and stability? Broken out by Number of years spent as a postdoc</w:t>
      </w:r>
      <w:bookmarkEnd w:id="4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47"/>
        <w:gridCol w:w="1853"/>
        <w:gridCol w:w="1857"/>
        <w:gridCol w:w="1857"/>
        <w:gridCol w:w="1857"/>
      </w:tblGrid>
      <w:tr w:rsidR="0028707C" w:rsidRPr="00505659" w:rsidTr="00C865AC">
        <w:tc>
          <w:tcPr>
            <w:tcW w:w="2147" w:type="dxa"/>
          </w:tcPr>
          <w:p w:rsidR="0028707C" w:rsidRPr="00505659" w:rsidRDefault="0028707C" w:rsidP="00C865AC">
            <w:r>
              <w:t>Number of years spent as a postdoc</w:t>
            </w:r>
          </w:p>
        </w:tc>
        <w:tc>
          <w:tcPr>
            <w:tcW w:w="1853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2147" w:type="dxa"/>
          </w:tcPr>
          <w:p w:rsidR="0028707C" w:rsidRPr="00505659" w:rsidRDefault="0028707C" w:rsidP="00C865AC">
            <w:r>
              <w:t>Less than 1.01</w:t>
            </w:r>
          </w:p>
        </w:tc>
        <w:tc>
          <w:tcPr>
            <w:tcW w:w="1853" w:type="dxa"/>
          </w:tcPr>
          <w:p w:rsidR="0028707C" w:rsidRPr="00505659" w:rsidRDefault="0028707C" w:rsidP="00C865AC">
            <w:r w:rsidRPr="00505659">
              <w:t>5.00%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30.00%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45.00%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20.00%</w:t>
            </w:r>
          </w:p>
        </w:tc>
      </w:tr>
      <w:tr w:rsidR="0028707C" w:rsidRPr="00505659" w:rsidTr="00C865AC">
        <w:tc>
          <w:tcPr>
            <w:tcW w:w="2147" w:type="dxa"/>
          </w:tcPr>
          <w:p w:rsidR="0028707C" w:rsidRPr="00505659" w:rsidRDefault="0028707C" w:rsidP="00C865AC">
            <w:r>
              <w:t>1.01 - 2.1</w:t>
            </w:r>
          </w:p>
        </w:tc>
        <w:tc>
          <w:tcPr>
            <w:tcW w:w="1853" w:type="dxa"/>
          </w:tcPr>
          <w:p w:rsidR="0028707C" w:rsidRPr="00505659" w:rsidRDefault="0028707C" w:rsidP="00C865AC">
            <w:r w:rsidRPr="00505659">
              <w:t>5.00%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30.00%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50.00%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15.00%</w:t>
            </w:r>
          </w:p>
        </w:tc>
      </w:tr>
      <w:tr w:rsidR="0028707C" w:rsidRPr="00505659" w:rsidTr="00C865AC">
        <w:tc>
          <w:tcPr>
            <w:tcW w:w="2147" w:type="dxa"/>
          </w:tcPr>
          <w:p w:rsidR="0028707C" w:rsidRPr="00505659" w:rsidRDefault="0028707C" w:rsidP="00C865AC">
            <w:r>
              <w:t>2.1 - 4.8</w:t>
            </w:r>
          </w:p>
        </w:tc>
        <w:tc>
          <w:tcPr>
            <w:tcW w:w="1853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27.27%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59.09%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13.64%</w:t>
            </w:r>
          </w:p>
        </w:tc>
      </w:tr>
      <w:tr w:rsidR="0028707C" w:rsidRPr="00505659" w:rsidTr="00C865AC">
        <w:tc>
          <w:tcPr>
            <w:tcW w:w="2147" w:type="dxa"/>
          </w:tcPr>
          <w:p w:rsidR="0028707C" w:rsidRPr="00505659" w:rsidRDefault="0028707C" w:rsidP="00C865AC">
            <w:r>
              <w:t>More than 4.8</w:t>
            </w:r>
          </w:p>
        </w:tc>
        <w:tc>
          <w:tcPr>
            <w:tcW w:w="1853" w:type="dxa"/>
          </w:tcPr>
          <w:p w:rsidR="0028707C" w:rsidRPr="00505659" w:rsidRDefault="0028707C" w:rsidP="00C865AC">
            <w:r w:rsidRPr="00505659">
              <w:t>4.17%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4.17%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83.33%</w:t>
            </w:r>
          </w:p>
        </w:tc>
        <w:tc>
          <w:tcPr>
            <w:tcW w:w="1857" w:type="dxa"/>
          </w:tcPr>
          <w:p w:rsidR="0028707C" w:rsidRPr="00505659" w:rsidRDefault="0028707C" w:rsidP="00C865AC">
            <w:r w:rsidRPr="00505659">
              <w:t>8.33%</w:t>
            </w:r>
          </w:p>
        </w:tc>
      </w:tr>
    </w:tbl>
    <w:p w:rsidR="0028707C" w:rsidRDefault="0028707C" w:rsidP="0028707C"/>
    <w:p w:rsidR="0028707C" w:rsidRDefault="0028707C" w:rsidP="0028707C"/>
    <w:p w:rsidR="0028707C" w:rsidRDefault="0028707C" w:rsidP="0028707C">
      <w:pPr>
        <w:pStyle w:val="Heading1"/>
      </w:pPr>
      <w:bookmarkStart w:id="5" w:name="_Toc473191798"/>
      <w:r>
        <w:t>Table 1.6 Does your institution offer permanent staff positions similar to postdocs but with greater pay and stability? Broken out by Gender of survey respondent</w:t>
      </w:r>
      <w:bookmarkEnd w:id="5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31"/>
        <w:gridCol w:w="1907"/>
        <w:gridCol w:w="1911"/>
        <w:gridCol w:w="1911"/>
        <w:gridCol w:w="1911"/>
      </w:tblGrid>
      <w:tr w:rsidR="0028707C" w:rsidRPr="00505659" w:rsidTr="00C865AC">
        <w:tc>
          <w:tcPr>
            <w:tcW w:w="1931" w:type="dxa"/>
          </w:tcPr>
          <w:p w:rsidR="0028707C" w:rsidRPr="00505659" w:rsidRDefault="0028707C" w:rsidP="00C865AC">
            <w:r>
              <w:t>Gender of survey respondent</w:t>
            </w:r>
          </w:p>
        </w:tc>
        <w:tc>
          <w:tcPr>
            <w:tcW w:w="1907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1931" w:type="dxa"/>
          </w:tcPr>
          <w:p w:rsidR="0028707C" w:rsidRPr="00505659" w:rsidRDefault="0028707C" w:rsidP="00C865AC">
            <w:r>
              <w:t xml:space="preserve">Male </w:t>
            </w:r>
          </w:p>
        </w:tc>
        <w:tc>
          <w:tcPr>
            <w:tcW w:w="1907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505659">
              <w:t>21.88%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505659">
              <w:t>62.50%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505659">
              <w:t>15.63%</w:t>
            </w:r>
          </w:p>
        </w:tc>
      </w:tr>
      <w:tr w:rsidR="0028707C" w:rsidRPr="00505659" w:rsidTr="00C865AC">
        <w:tc>
          <w:tcPr>
            <w:tcW w:w="1931" w:type="dxa"/>
          </w:tcPr>
          <w:p w:rsidR="0028707C" w:rsidRPr="00505659" w:rsidRDefault="0028707C" w:rsidP="00C865AC">
            <w:r>
              <w:t>Female</w:t>
            </w:r>
          </w:p>
        </w:tc>
        <w:tc>
          <w:tcPr>
            <w:tcW w:w="1907" w:type="dxa"/>
          </w:tcPr>
          <w:p w:rsidR="0028707C" w:rsidRPr="00505659" w:rsidRDefault="0028707C" w:rsidP="00C865AC">
            <w:r w:rsidRPr="00505659">
              <w:t>5.56%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505659">
              <w:t>22.22%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505659">
              <w:t>59.26%</w:t>
            </w:r>
          </w:p>
        </w:tc>
        <w:tc>
          <w:tcPr>
            <w:tcW w:w="1911" w:type="dxa"/>
          </w:tcPr>
          <w:p w:rsidR="0028707C" w:rsidRPr="00505659" w:rsidRDefault="0028707C" w:rsidP="00C865AC">
            <w:r w:rsidRPr="00505659">
              <w:t>12.96%</w:t>
            </w:r>
          </w:p>
        </w:tc>
      </w:tr>
    </w:tbl>
    <w:p w:rsidR="0028707C" w:rsidRDefault="0028707C" w:rsidP="0028707C"/>
    <w:p w:rsidR="0028707C" w:rsidRDefault="0028707C" w:rsidP="0028707C"/>
    <w:p w:rsidR="0028707C" w:rsidRDefault="0028707C" w:rsidP="0028707C">
      <w:pPr>
        <w:pStyle w:val="Heading1"/>
      </w:pPr>
      <w:r>
        <w:br w:type="page"/>
      </w:r>
      <w:bookmarkStart w:id="6" w:name="_Toc473191799"/>
      <w:r>
        <w:lastRenderedPageBreak/>
        <w:t>Table 1.7 Does your institution offer permanent staff positions similar to postdocs but with greater pay and stability? Broken out by Age of survey participant</w:t>
      </w:r>
      <w:bookmarkEnd w:id="6"/>
    </w:p>
    <w:p w:rsidR="0028707C" w:rsidRDefault="0028707C" w:rsidP="0028707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93"/>
        <w:gridCol w:w="1917"/>
        <w:gridCol w:w="1922"/>
        <w:gridCol w:w="1922"/>
        <w:gridCol w:w="2017"/>
      </w:tblGrid>
      <w:tr w:rsidR="0028707C" w:rsidRPr="00505659" w:rsidTr="00C865AC">
        <w:tc>
          <w:tcPr>
            <w:tcW w:w="1793" w:type="dxa"/>
          </w:tcPr>
          <w:p w:rsidR="0028707C" w:rsidRPr="00505659" w:rsidRDefault="0028707C" w:rsidP="00C865AC">
            <w:r>
              <w:t>Age of survey participant</w:t>
            </w:r>
          </w:p>
        </w:tc>
        <w:tc>
          <w:tcPr>
            <w:tcW w:w="1917" w:type="dxa"/>
          </w:tcPr>
          <w:p w:rsidR="0028707C" w:rsidRPr="00505659" w:rsidRDefault="0028707C" w:rsidP="00C865AC">
            <w:r w:rsidRPr="00505659">
              <w:t>No Answer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712604">
              <w:t>Yes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712604">
              <w:t>No</w:t>
            </w:r>
          </w:p>
        </w:tc>
        <w:tc>
          <w:tcPr>
            <w:tcW w:w="2017" w:type="dxa"/>
          </w:tcPr>
          <w:p w:rsidR="0028707C" w:rsidRPr="00505659" w:rsidRDefault="0028707C" w:rsidP="00C865AC">
            <w:r w:rsidRPr="00712604">
              <w:t>Unsure</w:t>
            </w:r>
          </w:p>
        </w:tc>
      </w:tr>
      <w:tr w:rsidR="0028707C" w:rsidRPr="00505659" w:rsidTr="00C865AC">
        <w:tc>
          <w:tcPr>
            <w:tcW w:w="1793" w:type="dxa"/>
          </w:tcPr>
          <w:p w:rsidR="0028707C" w:rsidRPr="00505659" w:rsidRDefault="0028707C" w:rsidP="00C865AC">
            <w:r w:rsidRPr="00DA3321">
              <w:t>30 or under</w:t>
            </w:r>
          </w:p>
        </w:tc>
        <w:tc>
          <w:tcPr>
            <w:tcW w:w="1917" w:type="dxa"/>
          </w:tcPr>
          <w:p w:rsidR="0028707C" w:rsidRPr="00505659" w:rsidRDefault="0028707C" w:rsidP="00C865AC">
            <w:r w:rsidRPr="00505659">
              <w:t>3.45%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505659">
              <w:t>27.59%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505659">
              <w:t>55.17%</w:t>
            </w:r>
          </w:p>
        </w:tc>
        <w:tc>
          <w:tcPr>
            <w:tcW w:w="2017" w:type="dxa"/>
          </w:tcPr>
          <w:p w:rsidR="0028707C" w:rsidRPr="00505659" w:rsidRDefault="0028707C" w:rsidP="00C865AC">
            <w:r w:rsidRPr="00505659">
              <w:t>13.79%</w:t>
            </w:r>
          </w:p>
        </w:tc>
      </w:tr>
      <w:tr w:rsidR="0028707C" w:rsidRPr="00505659" w:rsidTr="00C865AC">
        <w:tc>
          <w:tcPr>
            <w:tcW w:w="1793" w:type="dxa"/>
          </w:tcPr>
          <w:p w:rsidR="0028707C" w:rsidRPr="00505659" w:rsidRDefault="0028707C" w:rsidP="00C865AC">
            <w:r>
              <w:t>31-35</w:t>
            </w:r>
          </w:p>
        </w:tc>
        <w:tc>
          <w:tcPr>
            <w:tcW w:w="1917" w:type="dxa"/>
          </w:tcPr>
          <w:p w:rsidR="0028707C" w:rsidRPr="00505659" w:rsidRDefault="0028707C" w:rsidP="00C865AC">
            <w:r w:rsidRPr="00505659">
              <w:t>5.41%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505659">
              <w:t>27.03%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505659">
              <w:t>54.05%</w:t>
            </w:r>
          </w:p>
        </w:tc>
        <w:tc>
          <w:tcPr>
            <w:tcW w:w="2017" w:type="dxa"/>
          </w:tcPr>
          <w:p w:rsidR="0028707C" w:rsidRPr="00505659" w:rsidRDefault="0028707C" w:rsidP="00C865AC">
            <w:r w:rsidRPr="00505659">
              <w:t>13.51%</w:t>
            </w:r>
          </w:p>
        </w:tc>
      </w:tr>
      <w:tr w:rsidR="0028707C" w:rsidRPr="00505659" w:rsidTr="00C865AC">
        <w:tc>
          <w:tcPr>
            <w:tcW w:w="1793" w:type="dxa"/>
          </w:tcPr>
          <w:p w:rsidR="0028707C" w:rsidRPr="00505659" w:rsidRDefault="0028707C" w:rsidP="00C865AC">
            <w:r>
              <w:t>36 and over</w:t>
            </w:r>
          </w:p>
        </w:tc>
        <w:tc>
          <w:tcPr>
            <w:tcW w:w="1917" w:type="dxa"/>
          </w:tcPr>
          <w:p w:rsidR="0028707C" w:rsidRPr="00505659" w:rsidRDefault="0028707C" w:rsidP="00C865AC">
            <w:r w:rsidRPr="00505659">
              <w:t>0.00%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505659">
              <w:t>5.00%</w:t>
            </w:r>
          </w:p>
        </w:tc>
        <w:tc>
          <w:tcPr>
            <w:tcW w:w="1922" w:type="dxa"/>
          </w:tcPr>
          <w:p w:rsidR="0028707C" w:rsidRPr="00505659" w:rsidRDefault="0028707C" w:rsidP="00C865AC">
            <w:r w:rsidRPr="00505659">
              <w:t>80.00%</w:t>
            </w:r>
          </w:p>
        </w:tc>
        <w:tc>
          <w:tcPr>
            <w:tcW w:w="2017" w:type="dxa"/>
          </w:tcPr>
          <w:p w:rsidR="0028707C" w:rsidRPr="00505659" w:rsidRDefault="0028707C" w:rsidP="00C865AC">
            <w:r w:rsidRPr="00505659">
              <w:t>15.00%</w:t>
            </w:r>
          </w:p>
        </w:tc>
      </w:tr>
    </w:tbl>
    <w:p w:rsidR="0028707C" w:rsidRDefault="0028707C" w:rsidP="0028707C"/>
    <w:p w:rsidR="0028707C" w:rsidRDefault="0028707C" w:rsidP="0028707C"/>
    <w:p w:rsidR="00680991" w:rsidRDefault="00680991">
      <w:bookmarkStart w:id="7" w:name="_GoBack"/>
      <w:bookmarkEnd w:id="7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7C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8707C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69EFE-D6B9-45BB-B79F-9859E275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707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28707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07C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2017-01-26T16:05:00Z</dcterms:created>
  <dcterms:modified xsi:type="dcterms:W3CDTF">2017-01-26T16:06:00Z</dcterms:modified>
</cp:coreProperties>
</file>