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0E6B9" w14:textId="77777777" w:rsidR="006E1234" w:rsidRPr="00613500" w:rsidRDefault="006E1234" w:rsidP="006E1234">
      <w:pPr>
        <w:pStyle w:val="Heading1"/>
        <w:spacing w:line="480" w:lineRule="auto"/>
        <w:jc w:val="center"/>
        <w:rPr>
          <w:sz w:val="48"/>
          <w:szCs w:val="48"/>
        </w:rPr>
      </w:pPr>
      <w:bookmarkStart w:id="0" w:name="_Toc20991170"/>
      <w:bookmarkStart w:id="1" w:name="_GoBack"/>
      <w:bookmarkEnd w:id="1"/>
      <w:r w:rsidRPr="00613500">
        <w:rPr>
          <w:sz w:val="48"/>
          <w:szCs w:val="48"/>
        </w:rPr>
        <w:t>University of Tennessee, UTK Libraries</w:t>
      </w:r>
      <w:bookmarkEnd w:id="0"/>
    </w:p>
    <w:p w14:paraId="468034C1" w14:textId="77777777" w:rsidR="006E1234" w:rsidRDefault="006E1234" w:rsidP="006E1234">
      <w:pPr>
        <w:pStyle w:val="Heading2"/>
        <w:spacing w:line="480" w:lineRule="auto"/>
      </w:pPr>
      <w:bookmarkStart w:id="2" w:name="_Toc20991171"/>
      <w:r>
        <w:t>About University of Tennessee</w:t>
      </w:r>
      <w:bookmarkEnd w:id="2"/>
    </w:p>
    <w:p w14:paraId="3F749905" w14:textId="77777777" w:rsidR="006E1234" w:rsidRDefault="006E1234" w:rsidP="006E1234">
      <w:pPr>
        <w:spacing w:line="480" w:lineRule="auto"/>
        <w:ind w:firstLine="720"/>
        <w:rPr>
          <w:rFonts w:asciiTheme="majorHAnsi" w:hAnsiTheme="majorHAnsi" w:cstheme="majorHAnsi"/>
        </w:rPr>
      </w:pPr>
      <w:r>
        <w:rPr>
          <w:rFonts w:asciiTheme="majorHAnsi" w:hAnsiTheme="majorHAnsi" w:cstheme="majorHAnsi"/>
        </w:rPr>
        <w:t xml:space="preserve">Founded in 1794, University of Tennessee Knoxville (UTK) is one of Tennessee’s land grant universities and has over 28,000 students in more than 900 programs of study.  UTK employs about 9,600 faculty and staff and has a budget of approximately $800 billion (University of Tennessee, n.d.).  In the 2018 fiscal year, UTK received nearly $118 million in federal research funding, predominantly funded by the Department of Energy, National Science Foundation, and Department of Defense (Office of Research &amp; Engagement, 2018). </w:t>
      </w:r>
    </w:p>
    <w:p w14:paraId="771F2489" w14:textId="77777777" w:rsidR="006E1234" w:rsidRDefault="006E1234" w:rsidP="006E1234">
      <w:pPr>
        <w:spacing w:line="480" w:lineRule="auto"/>
        <w:rPr>
          <w:rFonts w:asciiTheme="majorHAnsi" w:hAnsiTheme="majorHAnsi" w:cstheme="majorHAnsi"/>
        </w:rPr>
      </w:pPr>
    </w:p>
    <w:p w14:paraId="00C9A62B" w14:textId="77777777" w:rsidR="006E1234" w:rsidRDefault="006E1234" w:rsidP="006E1234">
      <w:pPr>
        <w:pStyle w:val="Heading2"/>
        <w:spacing w:line="480" w:lineRule="auto"/>
      </w:pPr>
      <w:bookmarkStart w:id="3" w:name="_Toc20991172"/>
      <w:r>
        <w:t>About UTK Libraries</w:t>
      </w:r>
      <w:bookmarkEnd w:id="3"/>
    </w:p>
    <w:p w14:paraId="52F85F9D" w14:textId="77777777" w:rsidR="006E1234" w:rsidRDefault="006E1234" w:rsidP="006E1234">
      <w:pPr>
        <w:spacing w:line="480" w:lineRule="auto"/>
        <w:ind w:firstLine="720"/>
        <w:rPr>
          <w:rFonts w:asciiTheme="majorHAnsi" w:hAnsiTheme="majorHAnsi" w:cstheme="majorHAnsi"/>
        </w:rPr>
      </w:pPr>
      <w:r>
        <w:rPr>
          <w:rFonts w:asciiTheme="majorHAnsi" w:hAnsiTheme="majorHAnsi" w:cstheme="majorHAnsi"/>
        </w:rPr>
        <w:t xml:space="preserve">UTK Libraries at Knoxville has one main library and two branch libraries with a total budget of over $22 million, $12.5 million of which was spent on collections.  The libraries also received over $4.7 million in donations.  In the 2017-2018 year, over 2.14 million people visited the libraries.  The libraries have 176 full-time equivalent employees.  Although the use of reference services has been declining over the last six years, they still helped people through reference over 20,000 times in 2017-2018.  Library instruction sessions were also popular with 788 sessions reaching nearly 21,000 students in that same year (University Libraries, n.d.). </w:t>
      </w:r>
    </w:p>
    <w:p w14:paraId="1D78F962" w14:textId="77777777" w:rsidR="006E1234" w:rsidRDefault="006E1234" w:rsidP="006E1234">
      <w:pPr>
        <w:spacing w:line="480" w:lineRule="auto"/>
        <w:ind w:firstLine="720"/>
        <w:rPr>
          <w:rFonts w:asciiTheme="majorHAnsi" w:hAnsiTheme="majorHAnsi" w:cstheme="majorHAnsi"/>
        </w:rPr>
      </w:pPr>
    </w:p>
    <w:p w14:paraId="4503E065" w14:textId="77777777" w:rsidR="006E1234" w:rsidRDefault="006E1234" w:rsidP="006E1234">
      <w:pPr>
        <w:pStyle w:val="Heading2"/>
        <w:spacing w:line="480" w:lineRule="auto"/>
      </w:pPr>
      <w:bookmarkStart w:id="4" w:name="_Toc20991173"/>
      <w:r>
        <w:t>Discovery Living and Learning Community</w:t>
      </w:r>
      <w:bookmarkEnd w:id="4"/>
    </w:p>
    <w:p w14:paraId="40C45A95" w14:textId="77777777" w:rsidR="006E1234" w:rsidRDefault="006E1234" w:rsidP="006E1234">
      <w:pPr>
        <w:pStyle w:val="ListParagraph"/>
        <w:overflowPunct/>
        <w:autoSpaceDE/>
        <w:autoSpaceDN/>
        <w:adjustRightInd/>
        <w:spacing w:line="480" w:lineRule="auto"/>
        <w:ind w:left="0" w:firstLine="720"/>
        <w:contextualSpacing w:val="0"/>
        <w:textAlignment w:val="auto"/>
        <w:rPr>
          <w:rFonts w:asciiTheme="majorHAnsi" w:hAnsiTheme="majorHAnsi" w:cstheme="majorHAnsi"/>
        </w:rPr>
      </w:pPr>
      <w:r>
        <w:rPr>
          <w:rFonts w:asciiTheme="majorHAnsi" w:hAnsiTheme="majorHAnsi" w:cstheme="majorHAnsi"/>
        </w:rPr>
        <w:t xml:space="preserve">UTK’s Living and Learning Communities (LLCs) aim to help first-year students be part of a close-knit group of peers sharing a common thread.  There are LLCs based on academics as well </w:t>
      </w:r>
      <w:r>
        <w:rPr>
          <w:rFonts w:asciiTheme="majorHAnsi" w:hAnsiTheme="majorHAnsi" w:cstheme="majorHAnsi"/>
        </w:rPr>
        <w:lastRenderedPageBreak/>
        <w:t xml:space="preserve">as leadership and other factors helping students transition to the university.  LLCs share a mission to foster student success (University Housing, n.d.).  The library joined efforts with the Office of Undergraduate Research in 2016 to create the Discovery LLC, which provides opportunities to students from all majors to get involved in research problems with a mentor.  After meeting with University Housing personnel to discuss the idea, the libraries and undergraduate research office completed a proposal form to establish the new LLC.  They also had to create a new first-year course since neither office previously had taught credit courses.  </w:t>
      </w:r>
    </w:p>
    <w:p w14:paraId="47D3E271" w14:textId="77777777" w:rsidR="006E1234" w:rsidRPr="00877D48" w:rsidRDefault="006E1234" w:rsidP="006E1234">
      <w:pPr>
        <w:pStyle w:val="Heading3"/>
      </w:pPr>
      <w:bookmarkStart w:id="5" w:name="_Toc20991174"/>
      <w:r>
        <w:t>First-Year Course</w:t>
      </w:r>
      <w:bookmarkEnd w:id="5"/>
      <w:r>
        <w:t xml:space="preserve"> </w:t>
      </w:r>
    </w:p>
    <w:p w14:paraId="26A2DA80" w14:textId="77777777" w:rsidR="006E1234" w:rsidRDefault="006E1234" w:rsidP="006E1234">
      <w:pPr>
        <w:pStyle w:val="ListParagraph"/>
        <w:overflowPunct/>
        <w:autoSpaceDE/>
        <w:autoSpaceDN/>
        <w:adjustRightInd/>
        <w:spacing w:line="480" w:lineRule="auto"/>
        <w:ind w:left="0" w:firstLine="720"/>
        <w:contextualSpacing w:val="0"/>
        <w:textAlignment w:val="auto"/>
        <w:rPr>
          <w:rFonts w:asciiTheme="majorHAnsi" w:hAnsiTheme="majorHAnsi" w:cstheme="majorHAnsi"/>
        </w:rPr>
      </w:pPr>
      <w:r>
        <w:rPr>
          <w:rFonts w:asciiTheme="majorHAnsi" w:hAnsiTheme="majorHAnsi" w:cstheme="majorHAnsi"/>
        </w:rPr>
        <w:t xml:space="preserve">The course was modeled after a library course that had been developed previously as part of a research course (A. </w:t>
      </w:r>
      <w:proofErr w:type="spellStart"/>
      <w:r>
        <w:rPr>
          <w:rFonts w:asciiTheme="majorHAnsi" w:hAnsiTheme="majorHAnsi" w:cstheme="majorHAnsi"/>
        </w:rPr>
        <w:t>Sandelli</w:t>
      </w:r>
      <w:proofErr w:type="spellEnd"/>
      <w:r>
        <w:rPr>
          <w:rFonts w:asciiTheme="majorHAnsi" w:hAnsiTheme="majorHAnsi" w:cstheme="majorHAnsi"/>
        </w:rPr>
        <w:t xml:space="preserve">, personal communication, August 2, 2019).   In the short time since it was created, the Discovery LLC has been very popular.  In the first year, high student demand necessitated an additional section of this introductory research class.  In 2019, the Discovery LLC will focus on a partnership with the Seed Library and provide opportunities in health, nutrition, soil sciences, and other related fields.  </w:t>
      </w:r>
    </w:p>
    <w:p w14:paraId="50A524FC" w14:textId="77777777" w:rsidR="006E1234" w:rsidRDefault="006E1234" w:rsidP="006E1234">
      <w:pPr>
        <w:pStyle w:val="ListParagraph"/>
        <w:overflowPunct/>
        <w:autoSpaceDE/>
        <w:autoSpaceDN/>
        <w:adjustRightInd/>
        <w:spacing w:line="480" w:lineRule="auto"/>
        <w:ind w:left="0" w:firstLine="720"/>
        <w:contextualSpacing w:val="0"/>
        <w:textAlignment w:val="auto"/>
        <w:rPr>
          <w:rFonts w:asciiTheme="majorHAnsi" w:hAnsiTheme="majorHAnsi" w:cstheme="majorHAnsi"/>
        </w:rPr>
      </w:pPr>
      <w:r>
        <w:rPr>
          <w:rFonts w:asciiTheme="majorHAnsi" w:hAnsiTheme="majorHAnsi" w:cstheme="majorHAnsi"/>
        </w:rPr>
        <w:t>The library has been integrally involved in this LLC from the beginning, especially in the first-year course.  In addition to creating it and its syllabus, library personnel also teach the course every year.  The course has evolved and expanded as well.  Now students in the Discovery LLC will take the equivalent of a freshman orientation class during the first semester to help them acclimate to the university and develop valuable connections and student success skills.  Then in the spring semester, students will take the research course to develop their research skills</w:t>
      </w:r>
      <w:r w:rsidRPr="003F3578">
        <w:rPr>
          <w:rFonts w:asciiTheme="majorHAnsi" w:hAnsiTheme="majorHAnsi" w:cstheme="majorHAnsi"/>
        </w:rPr>
        <w:t xml:space="preserve"> </w:t>
      </w:r>
      <w:r>
        <w:rPr>
          <w:rFonts w:asciiTheme="majorHAnsi" w:hAnsiTheme="majorHAnsi" w:cstheme="majorHAnsi"/>
        </w:rPr>
        <w:t xml:space="preserve">further.  Many library employees have been involved throughout the process, including librarians from various areas like library administration, first year-programs, undergraduate user experience, public services, and experiential learning.  </w:t>
      </w:r>
    </w:p>
    <w:p w14:paraId="6A88B222" w14:textId="77777777" w:rsidR="006E1234" w:rsidRPr="00657AEE" w:rsidRDefault="006E1234" w:rsidP="006E1234">
      <w:pPr>
        <w:pStyle w:val="Heading3"/>
      </w:pPr>
      <w:bookmarkStart w:id="6" w:name="_Toc20991175"/>
      <w:r>
        <w:lastRenderedPageBreak/>
        <w:t>Personnel, Budget, and Resources</w:t>
      </w:r>
      <w:bookmarkEnd w:id="6"/>
      <w:r>
        <w:t xml:space="preserve"> </w:t>
      </w:r>
    </w:p>
    <w:p w14:paraId="1926B359" w14:textId="77777777" w:rsidR="006E1234" w:rsidRDefault="006E1234" w:rsidP="006E1234">
      <w:pPr>
        <w:pStyle w:val="ListParagraph"/>
        <w:overflowPunct/>
        <w:autoSpaceDE/>
        <w:autoSpaceDN/>
        <w:adjustRightInd/>
        <w:spacing w:line="480" w:lineRule="auto"/>
        <w:ind w:left="0" w:firstLine="720"/>
        <w:contextualSpacing w:val="0"/>
        <w:textAlignment w:val="auto"/>
        <w:rPr>
          <w:rFonts w:asciiTheme="majorHAnsi" w:hAnsiTheme="majorHAnsi" w:cstheme="majorHAnsi"/>
        </w:rPr>
      </w:pPr>
      <w:r>
        <w:rPr>
          <w:rFonts w:asciiTheme="majorHAnsi" w:hAnsiTheme="majorHAnsi" w:cstheme="majorHAnsi"/>
        </w:rPr>
        <w:t xml:space="preserve">Collaboration with the LLCs is not a traditional library service, but it builds upon course-integrated instruction and campus partnerships, two cornerstones of library services.  Adding the Discovery LLC to its initiatives did not technically require extra money or people from the library, but new employees have been added to help with it among other things.  </w:t>
      </w:r>
    </w:p>
    <w:p w14:paraId="29B6218A" w14:textId="7CBB0D82" w:rsidR="0059010F" w:rsidRPr="006C7C1E" w:rsidRDefault="006E1234" w:rsidP="006E1234">
      <w:r w:rsidRPr="00F96C25">
        <w:rPr>
          <w:rFonts w:asciiTheme="majorHAnsi" w:hAnsiTheme="majorHAnsi" w:cstheme="majorHAnsi"/>
          <w:bCs/>
        </w:rPr>
        <w:t>The LLC receives 20 dollars for each resident in the LLC from the housing department to cover event-related costs like food, transportation, and marketing</w:t>
      </w:r>
      <w:r w:rsidRPr="00F96C25">
        <w:rPr>
          <w:rFonts w:asciiTheme="majorHAnsi" w:hAnsiTheme="majorHAnsi" w:cstheme="majorHAnsi"/>
        </w:rPr>
        <w:t>.</w:t>
      </w:r>
      <w:r>
        <w:rPr>
          <w:rFonts w:asciiTheme="majorHAnsi" w:hAnsiTheme="majorHAnsi" w:cstheme="majorHAnsi"/>
        </w:rPr>
        <w:t xml:space="preserve">  That money comes from the housing fees students pay to live on campus.  The library and the undergraduate research office do provide other meals and sponsor other events during the year for the Discovery LLC.  The library has also collaborated with scholarship grants for students to participate in the LLC.  These collaborations have strengthened the library’s involvement across campus and demonstrated some direct connections with student success initiatives as an active participant.  The library is involved </w:t>
      </w:r>
      <w:proofErr w:type="gramStart"/>
      <w:r>
        <w:rPr>
          <w:rFonts w:asciiTheme="majorHAnsi" w:hAnsiTheme="majorHAnsi" w:cstheme="majorHAnsi"/>
        </w:rPr>
        <w:t>through the use of</w:t>
      </w:r>
      <w:proofErr w:type="gramEnd"/>
      <w:r>
        <w:rPr>
          <w:rFonts w:asciiTheme="majorHAnsi" w:hAnsiTheme="majorHAnsi" w:cstheme="majorHAnsi"/>
        </w:rPr>
        <w:t xml:space="preserve"> its space, resources, teaching, and innovation.  Adding guest speakers to the research class, which has included other librarians as well as individuals from various entities</w:t>
      </w:r>
    </w:p>
    <w:sectPr w:rsidR="0059010F" w:rsidRPr="006C7C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CBC"/>
    <w:rsid w:val="002E2091"/>
    <w:rsid w:val="0059010F"/>
    <w:rsid w:val="006C7C1E"/>
    <w:rsid w:val="006E1234"/>
    <w:rsid w:val="007D1248"/>
    <w:rsid w:val="00826A8B"/>
    <w:rsid w:val="00BF3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EF1D8"/>
  <w15:chartTrackingRefBased/>
  <w15:docId w15:val="{799C3BE1-71FA-4346-B6B6-CECCF7B19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F3CBC"/>
    <w:pPr>
      <w:spacing w:line="256" w:lineRule="auto"/>
    </w:pPr>
  </w:style>
  <w:style w:type="paragraph" w:styleId="Heading1">
    <w:name w:val="heading 1"/>
    <w:basedOn w:val="Normal"/>
    <w:next w:val="Normal"/>
    <w:link w:val="Heading1Char"/>
    <w:uiPriority w:val="9"/>
    <w:qFormat/>
    <w:rsid w:val="005901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1"/>
    <w:unhideWhenUsed/>
    <w:qFormat/>
    <w:rsid w:val="006E1234"/>
    <w:pPr>
      <w:keepNext/>
      <w:keepLines/>
      <w:overflowPunct w:val="0"/>
      <w:autoSpaceDE w:val="0"/>
      <w:autoSpaceDN w:val="0"/>
      <w:adjustRightInd w:val="0"/>
      <w:spacing w:before="40" w:after="0" w:line="240" w:lineRule="auto"/>
      <w:textAlignment w:val="baseline"/>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1"/>
    <w:unhideWhenUsed/>
    <w:qFormat/>
    <w:rsid w:val="006E1234"/>
    <w:pPr>
      <w:keepNext/>
      <w:keepLines/>
      <w:overflowPunct w:val="0"/>
      <w:autoSpaceDE w:val="0"/>
      <w:autoSpaceDN w:val="0"/>
      <w:adjustRightInd w:val="0"/>
      <w:spacing w:before="40" w:after="0" w:line="240" w:lineRule="auto"/>
      <w:textAlignment w:val="baseline"/>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3CBC"/>
    <w:rPr>
      <w:color w:val="0563C1" w:themeColor="hyperlink"/>
      <w:u w:val="single"/>
    </w:rPr>
  </w:style>
  <w:style w:type="character" w:customStyle="1" w:styleId="Heading1Char">
    <w:name w:val="Heading 1 Char"/>
    <w:basedOn w:val="DefaultParagraphFont"/>
    <w:link w:val="Heading1"/>
    <w:uiPriority w:val="9"/>
    <w:rsid w:val="0059010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9010F"/>
    <w:pPr>
      <w:spacing w:line="259" w:lineRule="auto"/>
      <w:outlineLvl w:val="9"/>
    </w:pPr>
  </w:style>
  <w:style w:type="paragraph" w:styleId="TOC1">
    <w:name w:val="toc 1"/>
    <w:basedOn w:val="Normal"/>
    <w:next w:val="Normal"/>
    <w:autoRedefine/>
    <w:uiPriority w:val="39"/>
    <w:unhideWhenUsed/>
    <w:rsid w:val="0059010F"/>
    <w:pPr>
      <w:overflowPunct w:val="0"/>
      <w:autoSpaceDE w:val="0"/>
      <w:autoSpaceDN w:val="0"/>
      <w:adjustRightInd w:val="0"/>
      <w:spacing w:after="100" w:line="240" w:lineRule="auto"/>
      <w:textAlignment w:val="baseline"/>
    </w:pPr>
    <w:rPr>
      <w:rFonts w:ascii="Times New Roman" w:eastAsia="Times New Roman" w:hAnsi="Times New Roman" w:cs="Times New Roman"/>
      <w:sz w:val="24"/>
      <w:szCs w:val="20"/>
    </w:rPr>
  </w:style>
  <w:style w:type="paragraph" w:styleId="TOC2">
    <w:name w:val="toc 2"/>
    <w:basedOn w:val="Normal"/>
    <w:next w:val="Normal"/>
    <w:autoRedefine/>
    <w:uiPriority w:val="39"/>
    <w:unhideWhenUsed/>
    <w:rsid w:val="0059010F"/>
    <w:pPr>
      <w:overflowPunct w:val="0"/>
      <w:autoSpaceDE w:val="0"/>
      <w:autoSpaceDN w:val="0"/>
      <w:adjustRightInd w:val="0"/>
      <w:spacing w:after="100" w:line="240" w:lineRule="auto"/>
      <w:ind w:left="240"/>
      <w:textAlignment w:val="baseline"/>
    </w:pPr>
    <w:rPr>
      <w:rFonts w:ascii="Times New Roman" w:eastAsia="Times New Roman" w:hAnsi="Times New Roman" w:cs="Times New Roman"/>
      <w:sz w:val="24"/>
      <w:szCs w:val="20"/>
    </w:rPr>
  </w:style>
  <w:style w:type="paragraph" w:styleId="TOC3">
    <w:name w:val="toc 3"/>
    <w:basedOn w:val="Normal"/>
    <w:next w:val="Normal"/>
    <w:autoRedefine/>
    <w:uiPriority w:val="39"/>
    <w:unhideWhenUsed/>
    <w:rsid w:val="0059010F"/>
    <w:pPr>
      <w:overflowPunct w:val="0"/>
      <w:autoSpaceDE w:val="0"/>
      <w:autoSpaceDN w:val="0"/>
      <w:adjustRightInd w:val="0"/>
      <w:spacing w:after="100" w:line="240" w:lineRule="auto"/>
      <w:ind w:left="480"/>
      <w:textAlignment w:val="baseline"/>
    </w:pPr>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1"/>
    <w:rsid w:val="006E123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1"/>
    <w:rsid w:val="006E1234"/>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1"/>
    <w:qFormat/>
    <w:rsid w:val="006E1234"/>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544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2</cp:revision>
  <dcterms:created xsi:type="dcterms:W3CDTF">2019-10-08T15:08:00Z</dcterms:created>
  <dcterms:modified xsi:type="dcterms:W3CDTF">2019-10-08T15:08:00Z</dcterms:modified>
</cp:coreProperties>
</file>