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8DA" w:rsidRPr="009A10E8" w:rsidRDefault="009228DA" w:rsidP="009228DA">
      <w:pPr>
        <w:pStyle w:val="Heading1"/>
        <w:rPr>
          <w:sz w:val="40"/>
          <w:szCs w:val="40"/>
        </w:rPr>
      </w:pPr>
      <w:bookmarkStart w:id="0" w:name="_Toc8821768"/>
      <w:bookmarkStart w:id="1" w:name="_GoBack"/>
      <w:bookmarkEnd w:id="1"/>
      <w:r w:rsidRPr="009A10E8">
        <w:rPr>
          <w:sz w:val="40"/>
          <w:szCs w:val="40"/>
        </w:rPr>
        <w:t>PROFILE 2:  DUKE UNIVERSITY</w:t>
      </w:r>
      <w:bookmarkEnd w:id="0"/>
      <w:r w:rsidRPr="009A10E8">
        <w:rPr>
          <w:sz w:val="40"/>
          <w:szCs w:val="40"/>
        </w:rPr>
        <w:t xml:space="preserve"> </w:t>
      </w:r>
    </w:p>
    <w:p w:rsidR="009228DA" w:rsidRPr="004430A8" w:rsidRDefault="009228DA" w:rsidP="009228DA">
      <w:pPr>
        <w:spacing w:line="360" w:lineRule="auto"/>
        <w:rPr>
          <w:rFonts w:asciiTheme="majorHAnsi" w:hAnsiTheme="majorHAnsi"/>
          <w:sz w:val="24"/>
          <w:szCs w:val="24"/>
        </w:rPr>
      </w:pPr>
    </w:p>
    <w:p w:rsidR="009228DA" w:rsidRPr="009A10E8" w:rsidRDefault="009228DA" w:rsidP="009228DA">
      <w:pPr>
        <w:pStyle w:val="Heading2"/>
      </w:pPr>
      <w:bookmarkStart w:id="2" w:name="_Toc8821769"/>
      <w:r w:rsidRPr="009A10E8">
        <w:t>Brief Profile of Duke University and its Libraries</w:t>
      </w:r>
      <w:bookmarkEnd w:id="2"/>
    </w:p>
    <w:p w:rsidR="009228DA" w:rsidRPr="004430A8" w:rsidRDefault="009228DA" w:rsidP="009228DA">
      <w:pPr>
        <w:spacing w:line="360" w:lineRule="auto"/>
        <w:rPr>
          <w:rFonts w:asciiTheme="majorHAnsi" w:hAnsiTheme="majorHAnsi"/>
          <w:sz w:val="24"/>
          <w:szCs w:val="24"/>
        </w:rPr>
      </w:pPr>
    </w:p>
    <w:p w:rsidR="009228DA" w:rsidRPr="004430A8" w:rsidRDefault="009228DA" w:rsidP="009228DA">
      <w:pPr>
        <w:spacing w:line="360" w:lineRule="auto"/>
        <w:ind w:firstLine="720"/>
        <w:rPr>
          <w:rFonts w:asciiTheme="majorHAnsi" w:hAnsiTheme="majorHAnsi"/>
          <w:sz w:val="24"/>
          <w:szCs w:val="24"/>
        </w:rPr>
      </w:pPr>
      <w:r w:rsidRPr="004430A8">
        <w:rPr>
          <w:rFonts w:asciiTheme="majorHAnsi" w:hAnsiTheme="majorHAnsi"/>
          <w:sz w:val="24"/>
          <w:szCs w:val="24"/>
        </w:rPr>
        <w:t>Duke University is a large, private university with an enrollment of nearly 7,000 undergraduate and 9,000 graduate students.  Founded in 1924 and located in Durham, North Carolina, some of its most prestigious programs include the Fuqua School of Business, School of Law, and Sanford School of Public Policy.  The Duke University Libraries system includes several different libraries; on the main campus are the William R. Perkins Library, Bostock Library, and Rubenstein Rare Book &amp; Manuscript Library.  Data visualization services are located in the Data and Visualization Services (DVS) department in Bostock Library.  On their website they state their mission as follows:  “Data and Visualization Services aims to help you accomplish your data-driven research goals by offering advice and training on best practices, tools, and resources at various stages during the research lifecycle regardless of discipline” (</w:t>
      </w:r>
      <w:hyperlink r:id="rId5">
        <w:r w:rsidRPr="004430A8">
          <w:rPr>
            <w:rFonts w:asciiTheme="majorHAnsi" w:hAnsiTheme="majorHAnsi"/>
            <w:color w:val="1155CC"/>
            <w:sz w:val="24"/>
            <w:szCs w:val="24"/>
            <w:u w:val="single"/>
          </w:rPr>
          <w:t>https://library.duke.edu/data/about</w:t>
        </w:r>
      </w:hyperlink>
      <w:r w:rsidRPr="004430A8">
        <w:rPr>
          <w:rFonts w:asciiTheme="majorHAnsi" w:hAnsiTheme="majorHAnsi"/>
          <w:sz w:val="24"/>
          <w:szCs w:val="24"/>
        </w:rPr>
        <w:t xml:space="preserve">).  </w:t>
      </w:r>
    </w:p>
    <w:p w:rsidR="009228DA" w:rsidRPr="004430A8" w:rsidRDefault="009228DA" w:rsidP="009228DA">
      <w:pPr>
        <w:spacing w:line="360" w:lineRule="auto"/>
        <w:ind w:firstLine="720"/>
        <w:rPr>
          <w:rFonts w:asciiTheme="majorHAnsi" w:hAnsiTheme="majorHAnsi"/>
          <w:sz w:val="24"/>
          <w:szCs w:val="24"/>
        </w:rPr>
      </w:pPr>
      <w:r w:rsidRPr="004430A8">
        <w:rPr>
          <w:rFonts w:asciiTheme="majorHAnsi" w:hAnsiTheme="majorHAnsi"/>
          <w:sz w:val="24"/>
          <w:szCs w:val="24"/>
        </w:rPr>
        <w:t xml:space="preserve">Two people contributed to this profile.  Angela </w:t>
      </w:r>
      <w:proofErr w:type="spellStart"/>
      <w:r w:rsidRPr="004430A8">
        <w:rPr>
          <w:rFonts w:asciiTheme="majorHAnsi" w:hAnsiTheme="majorHAnsi"/>
          <w:sz w:val="24"/>
          <w:szCs w:val="24"/>
        </w:rPr>
        <w:t>Zoss</w:t>
      </w:r>
      <w:proofErr w:type="spellEnd"/>
      <w:r w:rsidRPr="004430A8">
        <w:rPr>
          <w:rFonts w:asciiTheme="majorHAnsi" w:hAnsiTheme="majorHAnsi"/>
          <w:sz w:val="24"/>
          <w:szCs w:val="24"/>
        </w:rPr>
        <w:t xml:space="preserve"> is the Assessment and Data Visualization Analyst in the Assessment and User Experience department at Duke University Libraries.  Prior to May 2018, she worked as the Data Visualization Coordinator for Data and Visualization Services.  She holds a Master of Science in Communication from Cornell University and a doctorate in Information Science from Indiana University.  Her expertise in data visualization comes from both educational preparation and on-the-job training.  Eric Monson is a Data Visualization Analyst at Duke.  He holds a Ph.D. in Applied Physics and worked as a Research Scientist at Duke before joining DVS in 2015, when increasing demand lead to the creation of a second data visualization consultant position.  </w:t>
      </w:r>
    </w:p>
    <w:p w:rsidR="009228DA" w:rsidRPr="004430A8" w:rsidRDefault="009228DA" w:rsidP="009228DA">
      <w:pPr>
        <w:spacing w:line="360" w:lineRule="auto"/>
        <w:ind w:firstLine="720"/>
        <w:rPr>
          <w:rFonts w:asciiTheme="majorHAnsi" w:hAnsiTheme="majorHAnsi"/>
          <w:sz w:val="24"/>
          <w:szCs w:val="24"/>
        </w:rPr>
      </w:pPr>
    </w:p>
    <w:p w:rsidR="009228DA" w:rsidRPr="009A10E8" w:rsidRDefault="009228DA" w:rsidP="009228DA">
      <w:pPr>
        <w:pStyle w:val="Heading2"/>
      </w:pPr>
      <w:bookmarkStart w:id="3" w:name="_Toc8821770"/>
      <w:r w:rsidRPr="009A10E8">
        <w:t>Instructional Services and Outreach</w:t>
      </w:r>
      <w:bookmarkEnd w:id="3"/>
    </w:p>
    <w:p w:rsidR="009228DA" w:rsidRPr="004430A8" w:rsidRDefault="009228DA" w:rsidP="009228DA">
      <w:pPr>
        <w:spacing w:line="360" w:lineRule="auto"/>
        <w:rPr>
          <w:rFonts w:asciiTheme="majorHAnsi" w:hAnsiTheme="majorHAnsi"/>
          <w:sz w:val="24"/>
          <w:szCs w:val="24"/>
        </w:rPr>
      </w:pPr>
    </w:p>
    <w:p w:rsidR="009228DA" w:rsidRPr="004430A8" w:rsidRDefault="009228DA" w:rsidP="009228DA">
      <w:pPr>
        <w:spacing w:line="360" w:lineRule="auto"/>
        <w:ind w:firstLine="720"/>
        <w:rPr>
          <w:rFonts w:asciiTheme="majorHAnsi" w:hAnsiTheme="majorHAnsi"/>
          <w:sz w:val="24"/>
          <w:szCs w:val="24"/>
        </w:rPr>
      </w:pPr>
      <w:r w:rsidRPr="004430A8">
        <w:rPr>
          <w:rFonts w:asciiTheme="majorHAnsi" w:hAnsiTheme="majorHAnsi"/>
          <w:sz w:val="24"/>
          <w:szCs w:val="24"/>
        </w:rPr>
        <w:lastRenderedPageBreak/>
        <w:t>The DVS department offers a range of workshops on data sources, data management, data transformation, and mapping and GIS.  Some of the classes include:</w:t>
      </w:r>
    </w:p>
    <w:p w:rsidR="009228DA" w:rsidRPr="004430A8" w:rsidRDefault="009228DA" w:rsidP="009228DA">
      <w:pPr>
        <w:numPr>
          <w:ilvl w:val="0"/>
          <w:numId w:val="2"/>
        </w:numPr>
        <w:spacing w:line="360" w:lineRule="auto"/>
        <w:rPr>
          <w:rFonts w:asciiTheme="majorHAnsi" w:hAnsiTheme="majorHAnsi"/>
          <w:sz w:val="24"/>
          <w:szCs w:val="24"/>
        </w:rPr>
      </w:pPr>
      <w:r w:rsidRPr="004430A8">
        <w:rPr>
          <w:rFonts w:asciiTheme="majorHAnsi" w:hAnsiTheme="majorHAnsi"/>
          <w:sz w:val="24"/>
          <w:szCs w:val="24"/>
        </w:rPr>
        <w:t>Web Scraping</w:t>
      </w:r>
    </w:p>
    <w:p w:rsidR="009228DA" w:rsidRPr="004430A8" w:rsidRDefault="009228DA" w:rsidP="009228DA">
      <w:pPr>
        <w:numPr>
          <w:ilvl w:val="0"/>
          <w:numId w:val="2"/>
        </w:numPr>
        <w:spacing w:line="360" w:lineRule="auto"/>
        <w:rPr>
          <w:rFonts w:asciiTheme="majorHAnsi" w:hAnsiTheme="majorHAnsi"/>
          <w:sz w:val="24"/>
          <w:szCs w:val="24"/>
        </w:rPr>
      </w:pPr>
      <w:r w:rsidRPr="004430A8">
        <w:rPr>
          <w:rFonts w:asciiTheme="majorHAnsi" w:hAnsiTheme="majorHAnsi"/>
          <w:sz w:val="24"/>
          <w:szCs w:val="24"/>
        </w:rPr>
        <w:t>Twitter Stream Gathering</w:t>
      </w:r>
    </w:p>
    <w:p w:rsidR="009228DA" w:rsidRPr="004430A8" w:rsidRDefault="009228DA" w:rsidP="009228DA">
      <w:pPr>
        <w:numPr>
          <w:ilvl w:val="0"/>
          <w:numId w:val="2"/>
        </w:numPr>
        <w:spacing w:line="360" w:lineRule="auto"/>
        <w:rPr>
          <w:rFonts w:asciiTheme="majorHAnsi" w:hAnsiTheme="majorHAnsi"/>
          <w:sz w:val="24"/>
          <w:szCs w:val="24"/>
        </w:rPr>
      </w:pPr>
      <w:r w:rsidRPr="004430A8">
        <w:rPr>
          <w:rFonts w:asciiTheme="majorHAnsi" w:hAnsiTheme="majorHAnsi"/>
          <w:sz w:val="24"/>
          <w:szCs w:val="24"/>
        </w:rPr>
        <w:t>Data Management Fundamentals</w:t>
      </w:r>
    </w:p>
    <w:p w:rsidR="009228DA" w:rsidRPr="004430A8" w:rsidRDefault="009228DA" w:rsidP="009228DA">
      <w:pPr>
        <w:numPr>
          <w:ilvl w:val="0"/>
          <w:numId w:val="2"/>
        </w:numPr>
        <w:spacing w:line="360" w:lineRule="auto"/>
        <w:rPr>
          <w:rFonts w:asciiTheme="majorHAnsi" w:hAnsiTheme="majorHAnsi"/>
          <w:sz w:val="24"/>
          <w:szCs w:val="24"/>
        </w:rPr>
      </w:pPr>
      <w:r w:rsidRPr="004430A8">
        <w:rPr>
          <w:rFonts w:asciiTheme="majorHAnsi" w:hAnsiTheme="majorHAnsi"/>
          <w:sz w:val="24"/>
          <w:szCs w:val="24"/>
        </w:rPr>
        <w:t>Developing a Good Informed Consent Process</w:t>
      </w:r>
    </w:p>
    <w:p w:rsidR="009228DA" w:rsidRPr="004430A8" w:rsidRDefault="009228DA" w:rsidP="009228DA">
      <w:pPr>
        <w:numPr>
          <w:ilvl w:val="0"/>
          <w:numId w:val="2"/>
        </w:numPr>
        <w:spacing w:line="360" w:lineRule="auto"/>
        <w:rPr>
          <w:rFonts w:asciiTheme="majorHAnsi" w:hAnsiTheme="majorHAnsi"/>
          <w:sz w:val="24"/>
          <w:szCs w:val="24"/>
        </w:rPr>
      </w:pPr>
      <w:r w:rsidRPr="004430A8">
        <w:rPr>
          <w:rFonts w:asciiTheme="majorHAnsi" w:hAnsiTheme="majorHAnsi"/>
          <w:sz w:val="24"/>
          <w:szCs w:val="24"/>
        </w:rPr>
        <w:t>Introduction to R: Data Transformations, Analysis, and Data Structures</w:t>
      </w:r>
    </w:p>
    <w:p w:rsidR="009228DA" w:rsidRPr="004430A8" w:rsidRDefault="009228DA" w:rsidP="009228DA">
      <w:pPr>
        <w:numPr>
          <w:ilvl w:val="0"/>
          <w:numId w:val="2"/>
        </w:numPr>
        <w:spacing w:line="360" w:lineRule="auto"/>
        <w:rPr>
          <w:rFonts w:asciiTheme="majorHAnsi" w:hAnsiTheme="majorHAnsi"/>
          <w:sz w:val="24"/>
          <w:szCs w:val="24"/>
        </w:rPr>
      </w:pPr>
      <w:r w:rsidRPr="004430A8">
        <w:rPr>
          <w:rFonts w:asciiTheme="majorHAnsi" w:hAnsiTheme="majorHAnsi"/>
          <w:sz w:val="24"/>
          <w:szCs w:val="24"/>
        </w:rPr>
        <w:t>Introduction to Stata</w:t>
      </w:r>
    </w:p>
    <w:p w:rsidR="009228DA" w:rsidRPr="004430A8" w:rsidRDefault="009228DA" w:rsidP="009228DA">
      <w:pPr>
        <w:numPr>
          <w:ilvl w:val="0"/>
          <w:numId w:val="2"/>
        </w:numPr>
        <w:spacing w:line="360" w:lineRule="auto"/>
        <w:rPr>
          <w:rFonts w:asciiTheme="majorHAnsi" w:hAnsiTheme="majorHAnsi"/>
          <w:sz w:val="24"/>
          <w:szCs w:val="24"/>
        </w:rPr>
      </w:pPr>
      <w:r w:rsidRPr="004430A8">
        <w:rPr>
          <w:rFonts w:asciiTheme="majorHAnsi" w:hAnsiTheme="majorHAnsi"/>
          <w:sz w:val="24"/>
          <w:szCs w:val="24"/>
        </w:rPr>
        <w:t>Mapping with R</w:t>
      </w:r>
    </w:p>
    <w:p w:rsidR="009228DA" w:rsidRPr="004430A8" w:rsidRDefault="009228DA" w:rsidP="009228DA">
      <w:pPr>
        <w:spacing w:line="360" w:lineRule="auto"/>
        <w:rPr>
          <w:rFonts w:asciiTheme="majorHAnsi" w:hAnsiTheme="majorHAnsi"/>
          <w:sz w:val="24"/>
          <w:szCs w:val="24"/>
        </w:rPr>
      </w:pPr>
      <w:r w:rsidRPr="004430A8">
        <w:rPr>
          <w:rFonts w:asciiTheme="majorHAnsi" w:hAnsiTheme="majorHAnsi"/>
          <w:sz w:val="24"/>
          <w:szCs w:val="24"/>
        </w:rPr>
        <w:t xml:space="preserve">The DVS department also offers a Data and Visualization workshop series, which covers a range of tools and methods for data-driven research.  The classes include:  </w:t>
      </w:r>
    </w:p>
    <w:p w:rsidR="009228DA" w:rsidRPr="004430A8" w:rsidRDefault="009228DA" w:rsidP="009228DA">
      <w:pPr>
        <w:numPr>
          <w:ilvl w:val="0"/>
          <w:numId w:val="1"/>
        </w:numPr>
        <w:spacing w:line="360" w:lineRule="auto"/>
        <w:rPr>
          <w:rFonts w:asciiTheme="majorHAnsi" w:hAnsiTheme="majorHAnsi"/>
          <w:sz w:val="24"/>
          <w:szCs w:val="24"/>
        </w:rPr>
      </w:pPr>
      <w:r w:rsidRPr="004430A8">
        <w:rPr>
          <w:rFonts w:asciiTheme="majorHAnsi" w:hAnsiTheme="majorHAnsi"/>
          <w:sz w:val="24"/>
          <w:szCs w:val="24"/>
        </w:rPr>
        <w:t>Adobe Illustrator for Diagrams and Visualizations</w:t>
      </w:r>
    </w:p>
    <w:p w:rsidR="009228DA" w:rsidRPr="004430A8" w:rsidRDefault="009228DA" w:rsidP="009228DA">
      <w:pPr>
        <w:numPr>
          <w:ilvl w:val="0"/>
          <w:numId w:val="1"/>
        </w:numPr>
        <w:spacing w:line="360" w:lineRule="auto"/>
        <w:rPr>
          <w:rFonts w:asciiTheme="majorHAnsi" w:hAnsiTheme="majorHAnsi"/>
          <w:sz w:val="24"/>
          <w:szCs w:val="24"/>
        </w:rPr>
      </w:pPr>
      <w:r w:rsidRPr="004430A8">
        <w:rPr>
          <w:rFonts w:asciiTheme="majorHAnsi" w:hAnsiTheme="majorHAnsi"/>
          <w:sz w:val="24"/>
          <w:szCs w:val="24"/>
        </w:rPr>
        <w:t>Advanced Tableau (Data Structures)</w:t>
      </w:r>
    </w:p>
    <w:p w:rsidR="009228DA" w:rsidRPr="004430A8" w:rsidRDefault="009228DA" w:rsidP="009228DA">
      <w:pPr>
        <w:numPr>
          <w:ilvl w:val="0"/>
          <w:numId w:val="1"/>
        </w:numPr>
        <w:spacing w:line="360" w:lineRule="auto"/>
        <w:rPr>
          <w:rFonts w:asciiTheme="majorHAnsi" w:hAnsiTheme="majorHAnsi"/>
          <w:sz w:val="24"/>
          <w:szCs w:val="24"/>
        </w:rPr>
      </w:pPr>
      <w:r w:rsidRPr="004430A8">
        <w:rPr>
          <w:rFonts w:asciiTheme="majorHAnsi" w:hAnsiTheme="majorHAnsi"/>
          <w:sz w:val="24"/>
          <w:szCs w:val="24"/>
        </w:rPr>
        <w:t>Designing Academic Figures and Posters</w:t>
      </w:r>
    </w:p>
    <w:p w:rsidR="009228DA" w:rsidRPr="004430A8" w:rsidRDefault="009228DA" w:rsidP="009228DA">
      <w:pPr>
        <w:numPr>
          <w:ilvl w:val="0"/>
          <w:numId w:val="1"/>
        </w:numPr>
        <w:spacing w:line="360" w:lineRule="auto"/>
        <w:rPr>
          <w:rFonts w:asciiTheme="majorHAnsi" w:hAnsiTheme="majorHAnsi"/>
          <w:sz w:val="24"/>
          <w:szCs w:val="24"/>
        </w:rPr>
      </w:pPr>
      <w:r w:rsidRPr="004430A8">
        <w:rPr>
          <w:rFonts w:asciiTheme="majorHAnsi" w:hAnsiTheme="majorHAnsi"/>
          <w:sz w:val="24"/>
          <w:szCs w:val="24"/>
        </w:rPr>
        <w:t>Easy Interactive Charts and Maps with Tableau</w:t>
      </w:r>
    </w:p>
    <w:p w:rsidR="009228DA" w:rsidRPr="004430A8" w:rsidRDefault="009228DA" w:rsidP="009228DA">
      <w:pPr>
        <w:numPr>
          <w:ilvl w:val="0"/>
          <w:numId w:val="1"/>
        </w:numPr>
        <w:spacing w:line="360" w:lineRule="auto"/>
        <w:rPr>
          <w:rFonts w:asciiTheme="majorHAnsi" w:hAnsiTheme="majorHAnsi"/>
          <w:sz w:val="24"/>
          <w:szCs w:val="24"/>
        </w:rPr>
      </w:pPr>
      <w:r w:rsidRPr="004430A8">
        <w:rPr>
          <w:rFonts w:asciiTheme="majorHAnsi" w:hAnsiTheme="majorHAnsi"/>
          <w:sz w:val="24"/>
          <w:szCs w:val="24"/>
        </w:rPr>
        <w:t>Making Data Visual</w:t>
      </w:r>
    </w:p>
    <w:p w:rsidR="009228DA" w:rsidRPr="004430A8" w:rsidRDefault="009228DA" w:rsidP="009228DA">
      <w:pPr>
        <w:numPr>
          <w:ilvl w:val="0"/>
          <w:numId w:val="1"/>
        </w:numPr>
        <w:spacing w:line="360" w:lineRule="auto"/>
        <w:rPr>
          <w:rFonts w:asciiTheme="majorHAnsi" w:hAnsiTheme="majorHAnsi"/>
          <w:sz w:val="24"/>
          <w:szCs w:val="24"/>
        </w:rPr>
      </w:pPr>
      <w:r w:rsidRPr="004430A8">
        <w:rPr>
          <w:rFonts w:asciiTheme="majorHAnsi" w:hAnsiTheme="majorHAnsi"/>
          <w:sz w:val="24"/>
          <w:szCs w:val="24"/>
        </w:rPr>
        <w:t>Top 10 Do’s and Don’ts for Charts and Graphs</w:t>
      </w:r>
    </w:p>
    <w:p w:rsidR="009228DA" w:rsidRPr="004430A8" w:rsidRDefault="009228DA" w:rsidP="009228DA">
      <w:pPr>
        <w:numPr>
          <w:ilvl w:val="0"/>
          <w:numId w:val="1"/>
        </w:numPr>
        <w:spacing w:line="360" w:lineRule="auto"/>
        <w:rPr>
          <w:rFonts w:asciiTheme="majorHAnsi" w:hAnsiTheme="majorHAnsi"/>
          <w:sz w:val="24"/>
          <w:szCs w:val="24"/>
        </w:rPr>
      </w:pPr>
      <w:r w:rsidRPr="004430A8">
        <w:rPr>
          <w:rFonts w:asciiTheme="majorHAnsi" w:hAnsiTheme="majorHAnsi"/>
          <w:sz w:val="24"/>
          <w:szCs w:val="24"/>
        </w:rPr>
        <w:t>Data Visualization on the Web (Basic and Advanced)</w:t>
      </w:r>
    </w:p>
    <w:p w:rsidR="009228DA" w:rsidRPr="004430A8" w:rsidRDefault="009228DA" w:rsidP="009228DA">
      <w:pPr>
        <w:numPr>
          <w:ilvl w:val="0"/>
          <w:numId w:val="1"/>
        </w:numPr>
        <w:spacing w:line="360" w:lineRule="auto"/>
        <w:rPr>
          <w:rFonts w:asciiTheme="majorHAnsi" w:hAnsiTheme="majorHAnsi"/>
          <w:sz w:val="24"/>
          <w:szCs w:val="24"/>
        </w:rPr>
      </w:pPr>
      <w:r w:rsidRPr="004430A8">
        <w:rPr>
          <w:rFonts w:asciiTheme="majorHAnsi" w:hAnsiTheme="majorHAnsi"/>
          <w:sz w:val="24"/>
          <w:szCs w:val="24"/>
        </w:rPr>
        <w:t xml:space="preserve">Using </w:t>
      </w:r>
      <w:proofErr w:type="spellStart"/>
      <w:r w:rsidRPr="004430A8">
        <w:rPr>
          <w:rFonts w:asciiTheme="majorHAnsi" w:hAnsiTheme="majorHAnsi"/>
          <w:sz w:val="24"/>
          <w:szCs w:val="24"/>
        </w:rPr>
        <w:t>Gephi</w:t>
      </w:r>
      <w:proofErr w:type="spellEnd"/>
      <w:r w:rsidRPr="004430A8">
        <w:rPr>
          <w:rFonts w:asciiTheme="majorHAnsi" w:hAnsiTheme="majorHAnsi"/>
          <w:sz w:val="24"/>
          <w:szCs w:val="24"/>
        </w:rPr>
        <w:t xml:space="preserve"> for Network Analysis and Visualization (</w:t>
      </w:r>
      <w:hyperlink r:id="rId6" w:anchor="datasources">
        <w:r w:rsidRPr="004430A8">
          <w:rPr>
            <w:rFonts w:asciiTheme="majorHAnsi" w:hAnsiTheme="majorHAnsi"/>
            <w:color w:val="1155CC"/>
            <w:sz w:val="24"/>
            <w:szCs w:val="24"/>
            <w:u w:val="single"/>
          </w:rPr>
          <w:t>https://library.duke.edu/data/workshops/past-workshops#datasources</w:t>
        </w:r>
      </w:hyperlink>
      <w:r w:rsidRPr="004430A8">
        <w:rPr>
          <w:rFonts w:asciiTheme="majorHAnsi" w:hAnsiTheme="majorHAnsi"/>
          <w:sz w:val="24"/>
          <w:szCs w:val="24"/>
        </w:rPr>
        <w:t>)</w:t>
      </w:r>
    </w:p>
    <w:p w:rsidR="009228DA" w:rsidRPr="004430A8" w:rsidRDefault="009228DA" w:rsidP="009228DA">
      <w:pPr>
        <w:spacing w:line="360" w:lineRule="auto"/>
        <w:rPr>
          <w:rFonts w:asciiTheme="majorHAnsi" w:hAnsiTheme="majorHAnsi"/>
          <w:sz w:val="24"/>
          <w:szCs w:val="24"/>
        </w:rPr>
      </w:pPr>
      <w:r w:rsidRPr="004430A8">
        <w:rPr>
          <w:rFonts w:asciiTheme="majorHAnsi" w:hAnsiTheme="majorHAnsi"/>
          <w:sz w:val="24"/>
          <w:szCs w:val="24"/>
        </w:rPr>
        <w:t xml:space="preserve">Material from the workshops is often shared online, and sometimes video recordings are made available.  Recordings of past workshops can serve as ‘on-demand’ training for current patrons.   </w:t>
      </w:r>
    </w:p>
    <w:p w:rsidR="009228DA" w:rsidRDefault="009228DA" w:rsidP="009228DA">
      <w:pPr>
        <w:spacing w:line="360" w:lineRule="auto"/>
        <w:ind w:firstLine="720"/>
        <w:rPr>
          <w:rFonts w:asciiTheme="majorHAnsi" w:hAnsiTheme="majorHAnsi"/>
          <w:sz w:val="24"/>
          <w:szCs w:val="24"/>
        </w:rPr>
      </w:pPr>
      <w:r w:rsidRPr="004430A8">
        <w:rPr>
          <w:rFonts w:asciiTheme="majorHAnsi" w:hAnsiTheme="majorHAnsi"/>
          <w:sz w:val="24"/>
          <w:szCs w:val="24"/>
        </w:rPr>
        <w:lastRenderedPageBreak/>
        <w:t xml:space="preserve">The library has a teaching computer lab, where they hold workshops and course-related instruction.  The lab has 30 seats, so there is a cap on attendance.  The workshops tend to average around 15-20 participants.  DVS asks participants to register beforehand, although not everyone who registers will necessarily come to a session.  For some of the more conceptual classes, which do not require computers, they have access to a room with 100 seats.  The average for those classes is closer to 40 participants.  The only class they teach that has a prerequisite is a class on R and ggplot2.  For this workshop, the instructors ask participants to watch a video introduction to R beforehand.  Most of the workshops are hands-on, unless they are more conceptual, ‘best practices’-type classes. </w:t>
      </w:r>
    </w:p>
    <w:p w:rsidR="009228DA" w:rsidRPr="004430A8" w:rsidRDefault="009228DA" w:rsidP="009228DA">
      <w:pPr>
        <w:pStyle w:val="Heading3"/>
      </w:pPr>
      <w:bookmarkStart w:id="4" w:name="_Toc8821771"/>
      <w:r>
        <w:t>Marketing Data Visualization Workshops</w:t>
      </w:r>
      <w:bookmarkEnd w:id="4"/>
    </w:p>
    <w:p w:rsidR="009228DA" w:rsidRDefault="009228DA" w:rsidP="009228DA">
      <w:pPr>
        <w:spacing w:line="360" w:lineRule="auto"/>
        <w:ind w:firstLine="720"/>
        <w:rPr>
          <w:rFonts w:asciiTheme="majorHAnsi" w:hAnsiTheme="majorHAnsi"/>
          <w:sz w:val="24"/>
          <w:szCs w:val="24"/>
        </w:rPr>
      </w:pPr>
      <w:r w:rsidRPr="004430A8">
        <w:rPr>
          <w:rFonts w:asciiTheme="majorHAnsi" w:hAnsiTheme="majorHAnsi"/>
          <w:sz w:val="24"/>
          <w:szCs w:val="24"/>
        </w:rPr>
        <w:t xml:space="preserve">DVS offers around 25 workshops per semester, and data visualization classes are a small part of that series.  DVS handles advertising and marketing for the workshops.  They use a variety of methods for advertising, including blog posts, email blasts, and Twitter.  In addition, the workshops are embedded in a calendaring system, which feeds the information onto the library website, main Duke events calendar, and digital monitors on the grounds of the library.  Finally, they create some paper flyers for their general services and to highlight different aspects of the workshop series.  The flyers are posted around the library, shared across campus, and handed out at relevant University events.   </w:t>
      </w:r>
    </w:p>
    <w:p w:rsidR="009228DA" w:rsidRPr="004430A8" w:rsidRDefault="009228DA" w:rsidP="009228DA">
      <w:pPr>
        <w:pStyle w:val="Heading3"/>
      </w:pPr>
      <w:bookmarkStart w:id="5" w:name="_Toc8821772"/>
      <w:r>
        <w:t>Recent Trends in Data Visualization Workshop Offerings</w:t>
      </w:r>
      <w:bookmarkEnd w:id="5"/>
    </w:p>
    <w:p w:rsidR="009228DA" w:rsidRDefault="009228DA" w:rsidP="009228DA">
      <w:pPr>
        <w:spacing w:line="360" w:lineRule="auto"/>
        <w:ind w:firstLine="720"/>
        <w:rPr>
          <w:rFonts w:asciiTheme="majorHAnsi" w:hAnsiTheme="majorHAnsi"/>
          <w:sz w:val="24"/>
          <w:szCs w:val="24"/>
        </w:rPr>
      </w:pPr>
      <w:r w:rsidRPr="004430A8">
        <w:rPr>
          <w:rFonts w:asciiTheme="majorHAnsi" w:hAnsiTheme="majorHAnsi"/>
          <w:sz w:val="24"/>
          <w:szCs w:val="24"/>
        </w:rPr>
        <w:t>In terms of trends, some of the department’s more recent offerings, such as classes on Adobe Illustrator and infographic-branded workshops, have been extremely popular.  Classes on graphic design are also in high demand, as are conceptual classes on the basics of data visualization.  Although they still get requests for Tableau, lately they have not offered as many.  Although there is a lot of demand for Tableau on campus, and attendance is good</w:t>
      </w:r>
      <w:r>
        <w:rPr>
          <w:rFonts w:asciiTheme="majorHAnsi" w:hAnsiTheme="majorHAnsi"/>
          <w:sz w:val="24"/>
          <w:szCs w:val="24"/>
        </w:rPr>
        <w:t xml:space="preserve"> for Tableau workshops</w:t>
      </w:r>
      <w:r w:rsidRPr="004430A8">
        <w:rPr>
          <w:rFonts w:asciiTheme="majorHAnsi" w:hAnsiTheme="majorHAnsi"/>
          <w:sz w:val="24"/>
          <w:szCs w:val="24"/>
        </w:rPr>
        <w:t xml:space="preserve">, they now partly rely on existing videos for some of the basic Tableau instruction and do more advanced teaching via consultations.  For example, if a patron wants to learn Tableau, but the library is not offering a workshop that semester, the team will ask the patron to watch some introductory videos before their individual consultation in order to get started with the basics.  Then, during the consultation, they can deal with the specifics of their dataset and the </w:t>
      </w:r>
      <w:r w:rsidRPr="004430A8">
        <w:rPr>
          <w:rFonts w:asciiTheme="majorHAnsi" w:hAnsiTheme="majorHAnsi"/>
          <w:sz w:val="24"/>
          <w:szCs w:val="24"/>
        </w:rPr>
        <w:lastRenderedPageBreak/>
        <w:t xml:space="preserve">patron’s needs for more advanced functionality.  Other trends include increasing interest in charts in Microsoft Excel, anything related to R (including visualization in ggplot2), Shiny Server, Python, and GraphPad Prism. </w:t>
      </w:r>
    </w:p>
    <w:p w:rsidR="009228DA" w:rsidRDefault="009228DA" w:rsidP="009228DA">
      <w:pPr>
        <w:spacing w:line="360" w:lineRule="auto"/>
        <w:ind w:firstLine="720"/>
        <w:rPr>
          <w:rFonts w:asciiTheme="majorHAnsi" w:hAnsiTheme="majorHAnsi"/>
          <w:sz w:val="24"/>
          <w:szCs w:val="24"/>
        </w:rPr>
      </w:pPr>
    </w:p>
    <w:p w:rsidR="009228DA" w:rsidRPr="004430A8" w:rsidRDefault="009228DA" w:rsidP="009228DA">
      <w:pPr>
        <w:pStyle w:val="Heading3"/>
      </w:pPr>
      <w:bookmarkStart w:id="6" w:name="_Toc8821773"/>
      <w:r>
        <w:t>Data Visualization Instruction Through Invited Talks</w:t>
      </w:r>
      <w:bookmarkEnd w:id="6"/>
    </w:p>
    <w:p w:rsidR="009228DA" w:rsidRDefault="009228DA" w:rsidP="009228DA">
      <w:pPr>
        <w:spacing w:line="360" w:lineRule="auto"/>
        <w:ind w:firstLine="720"/>
        <w:rPr>
          <w:rFonts w:asciiTheme="majorHAnsi" w:hAnsiTheme="majorHAnsi"/>
          <w:sz w:val="24"/>
          <w:szCs w:val="24"/>
        </w:rPr>
      </w:pPr>
      <w:r w:rsidRPr="004430A8">
        <w:rPr>
          <w:rFonts w:asciiTheme="majorHAnsi" w:hAnsiTheme="majorHAnsi"/>
          <w:sz w:val="24"/>
          <w:szCs w:val="24"/>
        </w:rPr>
        <w:t xml:space="preserve">In addition to open workshops, Monson reports spending more time on invited talks.  Those talks are usually about effective data visualization ‘tip and tricks’ or creation of effective academic posters.  Both of those subjects cover general data visualization, fundamental training on charts, graphs and diagrams, and visualization design principles.  Although academic poster design is not covered at every academic library, DVS regards it as valuable training for their community.  The invited talks can involve either a traditional workshop session on best practice principles, or they can take the form of an interactive feedback session.  In these sessions, students can submit posters beforehand and then use class time to conduct a group critique.  Monson finds this to be a great learning experience for the students because they are able to get specific feedback on their posters, which they can use to revise their work.  </w:t>
      </w:r>
    </w:p>
    <w:p w:rsidR="009228DA" w:rsidRPr="004430A8" w:rsidRDefault="009228DA" w:rsidP="009228DA">
      <w:pPr>
        <w:pStyle w:val="Heading2"/>
      </w:pPr>
      <w:bookmarkStart w:id="7" w:name="_Toc8821774"/>
      <w:r>
        <w:t>Course Integrated Instruction</w:t>
      </w:r>
      <w:bookmarkEnd w:id="7"/>
    </w:p>
    <w:p w:rsidR="00603331" w:rsidRDefault="009228DA" w:rsidP="009228DA">
      <w:r w:rsidRPr="004430A8">
        <w:rPr>
          <w:rFonts w:asciiTheme="majorHAnsi" w:hAnsiTheme="majorHAnsi"/>
          <w:sz w:val="24"/>
          <w:szCs w:val="24"/>
        </w:rPr>
        <w:t>DVS also offers course-integrated teaching, which can take a number of forms.  Sometimes DVS leads short-form workshop-style instruction sessions for a particular</w:t>
      </w:r>
    </w:p>
    <w:sectPr w:rsidR="0060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2B6D"/>
    <w:multiLevelType w:val="multilevel"/>
    <w:tmpl w:val="40708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C258FA"/>
    <w:multiLevelType w:val="multilevel"/>
    <w:tmpl w:val="58EEF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31"/>
    <w:rsid w:val="003607F8"/>
    <w:rsid w:val="00603331"/>
    <w:rsid w:val="0092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8920B-0E80-42F9-B61B-8692EDB5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31"/>
    <w:pPr>
      <w:spacing w:after="200" w:line="276" w:lineRule="auto"/>
    </w:pPr>
    <w:rPr>
      <w:rFonts w:eastAsiaTheme="minorEastAsia"/>
      <w:lang w:val="en"/>
    </w:rPr>
  </w:style>
  <w:style w:type="paragraph" w:styleId="Heading1">
    <w:name w:val="heading 1"/>
    <w:basedOn w:val="Normal"/>
    <w:next w:val="Normal"/>
    <w:link w:val="Heading1Char"/>
    <w:uiPriority w:val="9"/>
    <w:qFormat/>
    <w:rsid w:val="006033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28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2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31"/>
    <w:rPr>
      <w:rFonts w:asciiTheme="majorHAnsi" w:eastAsiaTheme="majorEastAsia" w:hAnsiTheme="majorHAnsi" w:cstheme="majorBidi"/>
      <w:color w:val="2F5496" w:themeColor="accent1" w:themeShade="BF"/>
      <w:sz w:val="32"/>
      <w:szCs w:val="32"/>
      <w:lang w:val="en"/>
    </w:rPr>
  </w:style>
  <w:style w:type="paragraph" w:styleId="TOCHeading">
    <w:name w:val="TOC Heading"/>
    <w:basedOn w:val="Heading1"/>
    <w:next w:val="Normal"/>
    <w:uiPriority w:val="39"/>
    <w:semiHidden/>
    <w:unhideWhenUsed/>
    <w:qFormat/>
    <w:rsid w:val="00603331"/>
    <w:pPr>
      <w:keepNext w:val="0"/>
      <w:keepLines w:val="0"/>
      <w:spacing w:before="480"/>
      <w:contextualSpacing/>
      <w:outlineLvl w:val="9"/>
    </w:pPr>
    <w:rPr>
      <w:b/>
      <w:bCs/>
      <w:color w:val="auto"/>
      <w:sz w:val="28"/>
      <w:szCs w:val="28"/>
      <w:lang w:bidi="en-US"/>
    </w:rPr>
  </w:style>
  <w:style w:type="paragraph" w:styleId="TOC1">
    <w:name w:val="toc 1"/>
    <w:basedOn w:val="Normal"/>
    <w:next w:val="Normal"/>
    <w:autoRedefine/>
    <w:uiPriority w:val="39"/>
    <w:unhideWhenUsed/>
    <w:rsid w:val="00603331"/>
    <w:pPr>
      <w:spacing w:after="100"/>
    </w:pPr>
  </w:style>
  <w:style w:type="paragraph" w:styleId="TOC2">
    <w:name w:val="toc 2"/>
    <w:basedOn w:val="Normal"/>
    <w:next w:val="Normal"/>
    <w:autoRedefine/>
    <w:uiPriority w:val="39"/>
    <w:unhideWhenUsed/>
    <w:rsid w:val="00603331"/>
    <w:pPr>
      <w:spacing w:after="100"/>
      <w:ind w:left="220"/>
    </w:pPr>
  </w:style>
  <w:style w:type="character" w:styleId="Hyperlink">
    <w:name w:val="Hyperlink"/>
    <w:basedOn w:val="DefaultParagraphFont"/>
    <w:uiPriority w:val="99"/>
    <w:unhideWhenUsed/>
    <w:rsid w:val="00603331"/>
    <w:rPr>
      <w:color w:val="0563C1" w:themeColor="hyperlink"/>
      <w:u w:val="single"/>
    </w:rPr>
  </w:style>
  <w:style w:type="paragraph" w:styleId="TOC3">
    <w:name w:val="toc 3"/>
    <w:basedOn w:val="Normal"/>
    <w:next w:val="Normal"/>
    <w:autoRedefine/>
    <w:uiPriority w:val="39"/>
    <w:unhideWhenUsed/>
    <w:rsid w:val="00603331"/>
    <w:pPr>
      <w:spacing w:after="100"/>
      <w:ind w:left="440"/>
    </w:pPr>
  </w:style>
  <w:style w:type="character" w:customStyle="1" w:styleId="Heading2Char">
    <w:name w:val="Heading 2 Char"/>
    <w:basedOn w:val="DefaultParagraphFont"/>
    <w:link w:val="Heading2"/>
    <w:uiPriority w:val="9"/>
    <w:semiHidden/>
    <w:rsid w:val="009228DA"/>
    <w:rPr>
      <w:rFonts w:asciiTheme="majorHAnsi" w:eastAsiaTheme="majorEastAsia" w:hAnsiTheme="majorHAnsi" w:cstheme="majorBidi"/>
      <w:color w:val="2F5496" w:themeColor="accent1" w:themeShade="BF"/>
      <w:sz w:val="26"/>
      <w:szCs w:val="26"/>
      <w:lang w:val="en"/>
    </w:rPr>
  </w:style>
  <w:style w:type="character" w:customStyle="1" w:styleId="Heading3Char">
    <w:name w:val="Heading 3 Char"/>
    <w:basedOn w:val="DefaultParagraphFont"/>
    <w:link w:val="Heading3"/>
    <w:uiPriority w:val="9"/>
    <w:semiHidden/>
    <w:rsid w:val="009228D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duke.edu/data/workshops/past-workshops" TargetMode="External"/><Relationship Id="rId5" Type="http://schemas.openxmlformats.org/officeDocument/2006/relationships/hyperlink" Target="https://library.duke.edu/data/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2019-05-15T18:13:00Z</dcterms:created>
  <dcterms:modified xsi:type="dcterms:W3CDTF">2019-05-15T18:14:00Z</dcterms:modified>
</cp:coreProperties>
</file>