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719F33" w14:textId="202F7010" w:rsidR="004A2FE7" w:rsidRDefault="004A2FE7" w:rsidP="004A2FE7">
      <w:pPr>
        <w:pStyle w:val="TOCHeading"/>
      </w:pPr>
    </w:p>
    <w:p w14:paraId="6AEF9092" w14:textId="77777777" w:rsidR="00EB26E8" w:rsidRPr="00BD1DBB" w:rsidRDefault="00EB26E8" w:rsidP="00EB26E8">
      <w:pPr>
        <w:pStyle w:val="Heading1"/>
        <w:rPr>
          <w:rFonts w:cs="Calibri"/>
          <w:lang w:val="en-US"/>
        </w:rPr>
      </w:pPr>
      <w:bookmarkStart w:id="0" w:name="_Hlk50629127"/>
      <w:bookmarkStart w:id="1" w:name="_Toc51144190"/>
      <w:r w:rsidRPr="00BD1DBB">
        <w:rPr>
          <w:lang w:val="en-US"/>
        </w:rPr>
        <w:t>I</w:t>
      </w:r>
      <w:r w:rsidRPr="00BD1DBB">
        <w:rPr>
          <w:rFonts w:cs="Calibri"/>
          <w:lang w:val="en-US"/>
        </w:rPr>
        <w:t xml:space="preserve">f your office is conducting surveys of students to measure the effects of the coronavirus experience on learning outcomes what are some of the major themes that your research has turned up? </w:t>
      </w:r>
      <w:bookmarkEnd w:id="0"/>
      <w:r w:rsidRPr="00BD1DBB">
        <w:rPr>
          <w:rFonts w:cs="Calibri"/>
        </w:rPr>
        <w:t>Broken out by university/college type</w:t>
      </w:r>
      <w:bookmarkEnd w:id="1"/>
    </w:p>
    <w:p w14:paraId="038A2B40" w14:textId="77777777" w:rsidR="00EB26E8" w:rsidRPr="005841E6" w:rsidRDefault="00EB26E8" w:rsidP="00EB26E8">
      <w:pPr>
        <w:rPr>
          <w:lang w:val="en-US"/>
        </w:rPr>
      </w:pPr>
    </w:p>
    <w:p w14:paraId="66A9F39D" w14:textId="77777777" w:rsidR="00EB26E8" w:rsidRPr="005841E6" w:rsidRDefault="00EB26E8" w:rsidP="00EB26E8">
      <w:pPr>
        <w:rPr>
          <w:rFonts w:cs="Calibri"/>
        </w:rPr>
      </w:pPr>
      <w:r w:rsidRPr="005841E6">
        <w:rPr>
          <w:rFonts w:cs="Calibri"/>
        </w:rPr>
        <w:t>A Community College</w:t>
      </w:r>
    </w:p>
    <w:p w14:paraId="20F3C52C" w14:textId="77777777" w:rsidR="00EB26E8" w:rsidRPr="005841E6" w:rsidRDefault="00EB26E8" w:rsidP="00EB26E8">
      <w:pPr>
        <w:pStyle w:val="ListParagraph"/>
        <w:numPr>
          <w:ilvl w:val="0"/>
          <w:numId w:val="14"/>
        </w:numPr>
        <w:ind w:left="720"/>
        <w:rPr>
          <w:rFonts w:ascii="Cambria" w:hAnsi="Cambria" w:cs="Calibri"/>
          <w:sz w:val="24"/>
          <w:lang w:val="en-US"/>
        </w:rPr>
      </w:pPr>
      <w:r w:rsidRPr="005841E6">
        <w:rPr>
          <w:rFonts w:ascii="Cambria" w:hAnsi="Cambria" w:cs="Calibri"/>
          <w:sz w:val="24"/>
          <w:lang w:val="en-US"/>
        </w:rPr>
        <w:t>want the social interaction.    hard for a lot of students to take classes online- especially developmental students.  They aren't motivated or disciplined to focus on online work.</w:t>
      </w:r>
    </w:p>
    <w:p w14:paraId="42DFFB7B" w14:textId="77777777" w:rsidR="00EB26E8" w:rsidRPr="005841E6" w:rsidRDefault="00EB26E8" w:rsidP="00EB26E8">
      <w:pPr>
        <w:pStyle w:val="ListParagraph"/>
        <w:numPr>
          <w:ilvl w:val="0"/>
          <w:numId w:val="14"/>
        </w:numPr>
        <w:ind w:left="720"/>
        <w:rPr>
          <w:rFonts w:ascii="Cambria" w:hAnsi="Cambria" w:cs="Calibri"/>
          <w:sz w:val="24"/>
        </w:rPr>
      </w:pPr>
      <w:r w:rsidRPr="005841E6">
        <w:rPr>
          <w:rFonts w:ascii="Cambria" w:hAnsi="Cambria" w:cs="Calibri"/>
          <w:sz w:val="24"/>
        </w:rPr>
        <w:t>N/A</w:t>
      </w:r>
    </w:p>
    <w:p w14:paraId="25BF7700" w14:textId="77777777" w:rsidR="00EB26E8" w:rsidRPr="005841E6" w:rsidRDefault="00EB26E8" w:rsidP="00EB26E8">
      <w:pPr>
        <w:pStyle w:val="ListParagraph"/>
        <w:numPr>
          <w:ilvl w:val="0"/>
          <w:numId w:val="14"/>
        </w:numPr>
        <w:ind w:left="720"/>
        <w:rPr>
          <w:rFonts w:ascii="Cambria" w:hAnsi="Cambria" w:cs="Calibri"/>
          <w:sz w:val="24"/>
        </w:rPr>
      </w:pPr>
      <w:r w:rsidRPr="005841E6">
        <w:rPr>
          <w:rFonts w:ascii="Cambria" w:hAnsi="Cambria" w:cs="Calibri"/>
          <w:sz w:val="24"/>
          <w:lang w:val="en-US"/>
        </w:rPr>
        <w:t xml:space="preserve">There was an adjustment period at first. Students felt that course work had increased. </w:t>
      </w:r>
      <w:r w:rsidRPr="005841E6">
        <w:rPr>
          <w:rFonts w:ascii="Cambria" w:hAnsi="Cambria" w:cs="Calibri"/>
          <w:sz w:val="24"/>
        </w:rPr>
        <w:t xml:space="preserve">Overtime, things settled down. </w:t>
      </w:r>
    </w:p>
    <w:p w14:paraId="3D450242" w14:textId="77777777" w:rsidR="00EB26E8" w:rsidRPr="005841E6" w:rsidRDefault="00EB26E8" w:rsidP="00EB26E8">
      <w:pPr>
        <w:pStyle w:val="ListParagraph"/>
        <w:numPr>
          <w:ilvl w:val="0"/>
          <w:numId w:val="14"/>
        </w:numPr>
        <w:ind w:left="720"/>
        <w:rPr>
          <w:rFonts w:ascii="Cambria" w:hAnsi="Cambria" w:cs="Calibri"/>
          <w:sz w:val="24"/>
        </w:rPr>
      </w:pPr>
      <w:r w:rsidRPr="005841E6">
        <w:rPr>
          <w:rFonts w:ascii="Cambria" w:hAnsi="Cambria" w:cs="Calibri"/>
          <w:sz w:val="24"/>
        </w:rPr>
        <w:t>N/A</w:t>
      </w:r>
    </w:p>
    <w:p w14:paraId="1B746DDA" w14:textId="77777777" w:rsidR="00EB26E8" w:rsidRPr="005841E6" w:rsidRDefault="00EB26E8" w:rsidP="00EB26E8">
      <w:pPr>
        <w:pStyle w:val="ListParagraph"/>
        <w:numPr>
          <w:ilvl w:val="0"/>
          <w:numId w:val="14"/>
        </w:numPr>
        <w:ind w:left="720"/>
        <w:rPr>
          <w:rFonts w:ascii="Cambria" w:hAnsi="Cambria" w:cs="Calibri"/>
          <w:sz w:val="24"/>
        </w:rPr>
      </w:pPr>
      <w:r w:rsidRPr="005841E6">
        <w:rPr>
          <w:rFonts w:ascii="Cambria" w:hAnsi="Cambria" w:cs="Calibri"/>
          <w:sz w:val="24"/>
        </w:rPr>
        <w:t xml:space="preserve">Surveys are still in progress </w:t>
      </w:r>
    </w:p>
    <w:p w14:paraId="5CA70FCC" w14:textId="77777777" w:rsidR="00EB26E8" w:rsidRPr="005841E6" w:rsidRDefault="00EB26E8" w:rsidP="00EB26E8">
      <w:pPr>
        <w:pStyle w:val="ListParagraph"/>
        <w:numPr>
          <w:ilvl w:val="0"/>
          <w:numId w:val="14"/>
        </w:numPr>
        <w:ind w:left="720"/>
        <w:rPr>
          <w:rFonts w:ascii="Cambria" w:hAnsi="Cambria" w:cs="Calibri"/>
          <w:sz w:val="24"/>
          <w:lang w:val="en-US"/>
        </w:rPr>
      </w:pPr>
      <w:r w:rsidRPr="005841E6">
        <w:rPr>
          <w:rFonts w:ascii="Cambria" w:hAnsi="Cambria" w:cs="Calibri"/>
          <w:sz w:val="24"/>
          <w:lang w:val="en-US"/>
        </w:rPr>
        <w:t xml:space="preserve">students seemed to feel that they are still learning but face-to-face </w:t>
      </w:r>
    </w:p>
    <w:p w14:paraId="1015E984" w14:textId="77777777" w:rsidR="00EB26E8" w:rsidRPr="005841E6" w:rsidRDefault="00EB26E8" w:rsidP="00EB26E8">
      <w:pPr>
        <w:pStyle w:val="ListParagraph"/>
        <w:numPr>
          <w:ilvl w:val="0"/>
          <w:numId w:val="14"/>
        </w:numPr>
        <w:ind w:left="720"/>
        <w:rPr>
          <w:rFonts w:ascii="Cambria" w:hAnsi="Cambria" w:cs="Calibri"/>
          <w:sz w:val="24"/>
        </w:rPr>
      </w:pPr>
      <w:r w:rsidRPr="005841E6">
        <w:rPr>
          <w:rFonts w:ascii="Cambria" w:hAnsi="Cambria" w:cs="Calibri"/>
          <w:sz w:val="24"/>
        </w:rPr>
        <w:t>N/A</w:t>
      </w:r>
    </w:p>
    <w:p w14:paraId="33AC2FB7" w14:textId="77777777" w:rsidR="00EB26E8" w:rsidRPr="005841E6" w:rsidRDefault="00EB26E8" w:rsidP="00EB26E8">
      <w:pPr>
        <w:rPr>
          <w:rFonts w:cs="Calibri"/>
          <w:lang w:val="en-US"/>
        </w:rPr>
      </w:pPr>
      <w:r w:rsidRPr="005841E6">
        <w:rPr>
          <w:rFonts w:cs="Calibri"/>
          <w:lang w:val="en-US"/>
        </w:rPr>
        <w:t>Primarily a 4-year degree granting institution</w:t>
      </w:r>
    </w:p>
    <w:p w14:paraId="6FAF533F" w14:textId="77777777" w:rsidR="00EB26E8" w:rsidRPr="005841E6" w:rsidRDefault="00EB26E8" w:rsidP="00EB26E8">
      <w:pPr>
        <w:pStyle w:val="ListParagraph"/>
        <w:numPr>
          <w:ilvl w:val="0"/>
          <w:numId w:val="15"/>
        </w:numPr>
        <w:ind w:left="720"/>
        <w:rPr>
          <w:rFonts w:ascii="Cambria" w:hAnsi="Cambria" w:cs="Calibri"/>
          <w:sz w:val="24"/>
        </w:rPr>
      </w:pPr>
      <w:r w:rsidRPr="005841E6">
        <w:rPr>
          <w:rFonts w:ascii="Cambria" w:hAnsi="Cambria" w:cs="Calibri"/>
          <w:sz w:val="24"/>
        </w:rPr>
        <w:t>pending</w:t>
      </w:r>
    </w:p>
    <w:p w14:paraId="34199AF0" w14:textId="77777777" w:rsidR="00EB26E8" w:rsidRPr="005841E6" w:rsidRDefault="00EB26E8" w:rsidP="00EB26E8">
      <w:pPr>
        <w:pStyle w:val="ListParagraph"/>
        <w:numPr>
          <w:ilvl w:val="0"/>
          <w:numId w:val="15"/>
        </w:numPr>
        <w:ind w:left="720"/>
        <w:rPr>
          <w:rFonts w:ascii="Cambria" w:hAnsi="Cambria" w:cs="Calibri"/>
          <w:sz w:val="24"/>
        </w:rPr>
      </w:pPr>
      <w:r w:rsidRPr="005841E6">
        <w:rPr>
          <w:rFonts w:ascii="Cambria" w:hAnsi="Cambria" w:cs="Calibri"/>
          <w:sz w:val="24"/>
        </w:rPr>
        <w:t>No</w:t>
      </w:r>
    </w:p>
    <w:p w14:paraId="5559B730" w14:textId="77777777" w:rsidR="00EB26E8" w:rsidRPr="005841E6" w:rsidRDefault="00EB26E8" w:rsidP="00EB26E8">
      <w:pPr>
        <w:pStyle w:val="ListParagraph"/>
        <w:numPr>
          <w:ilvl w:val="0"/>
          <w:numId w:val="15"/>
        </w:numPr>
        <w:ind w:left="720"/>
        <w:rPr>
          <w:rFonts w:ascii="Cambria" w:hAnsi="Cambria" w:cs="Calibri"/>
          <w:sz w:val="24"/>
          <w:lang w:val="en-US"/>
        </w:rPr>
      </w:pPr>
      <w:r w:rsidRPr="005841E6">
        <w:rPr>
          <w:rFonts w:ascii="Cambria" w:hAnsi="Cambria" w:cs="Calibri"/>
          <w:sz w:val="24"/>
          <w:lang w:val="en-US"/>
        </w:rPr>
        <w:t xml:space="preserve">Technology </w:t>
      </w:r>
      <w:proofErr w:type="gramStart"/>
      <w:r w:rsidRPr="005841E6">
        <w:rPr>
          <w:rFonts w:ascii="Cambria" w:hAnsi="Cambria" w:cs="Calibri"/>
          <w:sz w:val="24"/>
          <w:lang w:val="en-US"/>
        </w:rPr>
        <w:t>issues;</w:t>
      </w:r>
      <w:proofErr w:type="gramEnd"/>
      <w:r w:rsidRPr="005841E6">
        <w:rPr>
          <w:rFonts w:ascii="Cambria" w:hAnsi="Cambria" w:cs="Calibri"/>
          <w:sz w:val="24"/>
          <w:lang w:val="en-US"/>
        </w:rPr>
        <w:t xml:space="preserve"> learning curve for those who were totally in-seat before the pandemic; Increased workload in online classes; distractions working at home</w:t>
      </w:r>
    </w:p>
    <w:p w14:paraId="6DD589A5" w14:textId="77777777" w:rsidR="00EB26E8" w:rsidRPr="005841E6" w:rsidRDefault="00EB26E8" w:rsidP="00EB26E8">
      <w:pPr>
        <w:pStyle w:val="ListParagraph"/>
        <w:numPr>
          <w:ilvl w:val="0"/>
          <w:numId w:val="15"/>
        </w:numPr>
        <w:ind w:left="720"/>
        <w:rPr>
          <w:rFonts w:ascii="Cambria" w:hAnsi="Cambria" w:cs="Calibri"/>
          <w:sz w:val="24"/>
        </w:rPr>
      </w:pPr>
      <w:r w:rsidRPr="005841E6">
        <w:rPr>
          <w:rFonts w:ascii="Cambria" w:hAnsi="Cambria" w:cs="Calibri"/>
          <w:sz w:val="24"/>
        </w:rPr>
        <w:t>not applicable</w:t>
      </w:r>
    </w:p>
    <w:p w14:paraId="340E7DA5" w14:textId="77777777" w:rsidR="00EB26E8" w:rsidRPr="005841E6" w:rsidRDefault="00EB26E8" w:rsidP="00EB26E8">
      <w:pPr>
        <w:pStyle w:val="ListParagraph"/>
        <w:numPr>
          <w:ilvl w:val="0"/>
          <w:numId w:val="15"/>
        </w:numPr>
        <w:ind w:left="720"/>
        <w:rPr>
          <w:rFonts w:ascii="Cambria" w:hAnsi="Cambria" w:cs="Calibri"/>
          <w:sz w:val="24"/>
          <w:lang w:val="en-US"/>
        </w:rPr>
      </w:pPr>
      <w:r w:rsidRPr="005841E6">
        <w:rPr>
          <w:rFonts w:ascii="Cambria" w:hAnsi="Cambria" w:cs="Calibri"/>
          <w:sz w:val="24"/>
          <w:lang w:val="en-US"/>
        </w:rPr>
        <w:t>The results showed that students had some technology issues and problems balancing home and school life</w:t>
      </w:r>
    </w:p>
    <w:p w14:paraId="2AF702C7" w14:textId="77777777" w:rsidR="00EB26E8" w:rsidRPr="005841E6" w:rsidRDefault="00EB26E8" w:rsidP="00EB26E8">
      <w:pPr>
        <w:pStyle w:val="ListParagraph"/>
        <w:numPr>
          <w:ilvl w:val="0"/>
          <w:numId w:val="15"/>
        </w:numPr>
        <w:ind w:left="720"/>
        <w:rPr>
          <w:rFonts w:ascii="Cambria" w:hAnsi="Cambria" w:cs="Calibri"/>
          <w:sz w:val="24"/>
          <w:lang w:val="en-US"/>
        </w:rPr>
      </w:pPr>
      <w:r w:rsidRPr="005841E6">
        <w:rPr>
          <w:rFonts w:ascii="Cambria" w:hAnsi="Cambria" w:cs="Calibri"/>
          <w:sz w:val="24"/>
          <w:lang w:val="en-US"/>
        </w:rPr>
        <w:t>students are concerned but want face-to-face education. They want information. They want to have a voice.</w:t>
      </w:r>
    </w:p>
    <w:p w14:paraId="61324BFB" w14:textId="77777777" w:rsidR="00EB26E8" w:rsidRPr="005841E6" w:rsidRDefault="00EB26E8" w:rsidP="00EB26E8">
      <w:pPr>
        <w:pStyle w:val="ListParagraph"/>
        <w:numPr>
          <w:ilvl w:val="0"/>
          <w:numId w:val="15"/>
        </w:numPr>
        <w:ind w:left="720"/>
        <w:rPr>
          <w:rFonts w:ascii="Cambria" w:hAnsi="Cambria" w:cs="Calibri"/>
          <w:sz w:val="24"/>
          <w:lang w:val="en-US"/>
        </w:rPr>
      </w:pPr>
      <w:r w:rsidRPr="005841E6">
        <w:rPr>
          <w:rFonts w:ascii="Cambria" w:hAnsi="Cambria" w:cs="Calibri"/>
          <w:sz w:val="24"/>
          <w:lang w:val="en-US"/>
        </w:rPr>
        <w:t xml:space="preserve">We are asking students which learning outcomes they are most concerned about so we can best plan course offerings for the next semester. </w:t>
      </w:r>
    </w:p>
    <w:p w14:paraId="6199C528" w14:textId="77777777" w:rsidR="00EB26E8" w:rsidRPr="005841E6" w:rsidRDefault="00EB26E8" w:rsidP="00EB26E8">
      <w:pPr>
        <w:pStyle w:val="ListParagraph"/>
        <w:numPr>
          <w:ilvl w:val="0"/>
          <w:numId w:val="15"/>
        </w:numPr>
        <w:ind w:left="720"/>
        <w:rPr>
          <w:rFonts w:ascii="Cambria" w:hAnsi="Cambria" w:cs="Calibri"/>
          <w:sz w:val="24"/>
          <w:lang w:val="en-US"/>
        </w:rPr>
      </w:pPr>
      <w:r w:rsidRPr="005841E6">
        <w:rPr>
          <w:rFonts w:ascii="Cambria" w:hAnsi="Cambria" w:cs="Calibri"/>
          <w:sz w:val="24"/>
          <w:lang w:val="en-US"/>
        </w:rPr>
        <w:t>My office doesn't conduct surveys. Surveys conducted by other offices have shown gaps in wireless and other access issues.</w:t>
      </w:r>
    </w:p>
    <w:p w14:paraId="632D7BBA" w14:textId="77777777" w:rsidR="00EB26E8" w:rsidRPr="005841E6" w:rsidRDefault="00EB26E8" w:rsidP="00EB26E8">
      <w:pPr>
        <w:pStyle w:val="ListParagraph"/>
        <w:numPr>
          <w:ilvl w:val="0"/>
          <w:numId w:val="15"/>
        </w:numPr>
        <w:ind w:left="720"/>
        <w:rPr>
          <w:rFonts w:ascii="Cambria" w:hAnsi="Cambria" w:cs="Calibri"/>
          <w:sz w:val="24"/>
        </w:rPr>
      </w:pPr>
      <w:r w:rsidRPr="005841E6">
        <w:rPr>
          <w:rFonts w:ascii="Cambria" w:hAnsi="Cambria" w:cs="Calibri"/>
          <w:sz w:val="24"/>
        </w:rPr>
        <w:t>No</w:t>
      </w:r>
    </w:p>
    <w:p w14:paraId="62F0737F" w14:textId="77777777" w:rsidR="00EB26E8" w:rsidRPr="005841E6" w:rsidRDefault="00EB26E8" w:rsidP="00EB26E8">
      <w:pPr>
        <w:pStyle w:val="ListParagraph"/>
        <w:numPr>
          <w:ilvl w:val="0"/>
          <w:numId w:val="15"/>
        </w:numPr>
        <w:ind w:left="720"/>
        <w:rPr>
          <w:rFonts w:ascii="Cambria" w:hAnsi="Cambria" w:cs="Calibri"/>
          <w:sz w:val="24"/>
          <w:lang w:val="en-US"/>
        </w:rPr>
      </w:pPr>
      <w:r w:rsidRPr="005841E6">
        <w:rPr>
          <w:rFonts w:ascii="Cambria" w:hAnsi="Cambria" w:cs="Calibri"/>
          <w:sz w:val="24"/>
          <w:lang w:val="en-US"/>
        </w:rPr>
        <w:t>Not yet but probably will this fall.</w:t>
      </w:r>
    </w:p>
    <w:p w14:paraId="3D8BC2AD" w14:textId="77777777" w:rsidR="00EB26E8" w:rsidRPr="005841E6" w:rsidRDefault="00EB26E8" w:rsidP="00EB26E8">
      <w:pPr>
        <w:pStyle w:val="ListParagraph"/>
        <w:numPr>
          <w:ilvl w:val="0"/>
          <w:numId w:val="15"/>
        </w:numPr>
        <w:ind w:left="720"/>
        <w:rPr>
          <w:rFonts w:ascii="Cambria" w:hAnsi="Cambria" w:cs="Calibri"/>
          <w:sz w:val="24"/>
        </w:rPr>
      </w:pPr>
      <w:r w:rsidRPr="005841E6">
        <w:rPr>
          <w:rFonts w:ascii="Cambria" w:hAnsi="Cambria" w:cs="Calibri"/>
          <w:sz w:val="24"/>
        </w:rPr>
        <w:t>yes for spring 2020</w:t>
      </w:r>
    </w:p>
    <w:p w14:paraId="35B84422" w14:textId="77777777" w:rsidR="00EB26E8" w:rsidRPr="005841E6" w:rsidRDefault="00EB26E8" w:rsidP="00EB26E8">
      <w:pPr>
        <w:pStyle w:val="ListParagraph"/>
        <w:numPr>
          <w:ilvl w:val="0"/>
          <w:numId w:val="15"/>
        </w:numPr>
        <w:ind w:left="720"/>
        <w:rPr>
          <w:rFonts w:ascii="Cambria" w:hAnsi="Cambria" w:cs="Calibri"/>
          <w:sz w:val="24"/>
          <w:lang w:val="en-US"/>
        </w:rPr>
      </w:pPr>
      <w:r w:rsidRPr="005841E6">
        <w:rPr>
          <w:rFonts w:ascii="Cambria" w:hAnsi="Cambria" w:cs="Calibri"/>
          <w:sz w:val="24"/>
          <w:lang w:val="en-US"/>
        </w:rPr>
        <w:lastRenderedPageBreak/>
        <w:t xml:space="preserve">Our students were relatively pleased with the transition to online learning during the spring semester with over 66% of students saying they were satisfied or very satisfied with the transition to remote instruction.  </w:t>
      </w:r>
    </w:p>
    <w:p w14:paraId="791AABA8" w14:textId="77777777" w:rsidR="00EB26E8" w:rsidRDefault="00EB26E8" w:rsidP="00EB26E8">
      <w:pPr>
        <w:pStyle w:val="ListParagraph"/>
        <w:numPr>
          <w:ilvl w:val="0"/>
          <w:numId w:val="15"/>
        </w:numPr>
        <w:ind w:left="720"/>
        <w:rPr>
          <w:rFonts w:ascii="Cambria" w:hAnsi="Cambria" w:cs="Calibri"/>
          <w:sz w:val="24"/>
          <w:lang w:val="en-US"/>
        </w:rPr>
      </w:pPr>
      <w:r w:rsidRPr="005841E6">
        <w:rPr>
          <w:rFonts w:ascii="Cambria" w:hAnsi="Cambria" w:cs="Calibri"/>
          <w:sz w:val="24"/>
          <w:lang w:val="en-US"/>
        </w:rPr>
        <w:t>Students are less academically engaged, have higher stress levels, need more support from student support services.</w:t>
      </w:r>
    </w:p>
    <w:p w14:paraId="0F384E09" w14:textId="77777777" w:rsidR="00EB26E8" w:rsidRPr="005841E6" w:rsidRDefault="00EB26E8" w:rsidP="00EB26E8">
      <w:pPr>
        <w:rPr>
          <w:rFonts w:cs="Calibri"/>
          <w:lang w:val="en-US"/>
        </w:rPr>
      </w:pPr>
      <w:r>
        <w:rPr>
          <w:rFonts w:cs="Calibri"/>
          <w:lang w:val="en-US"/>
        </w:rPr>
        <w:t xml:space="preserve">  </w:t>
      </w:r>
      <w:r w:rsidRPr="005841E6">
        <w:rPr>
          <w:rFonts w:cs="Calibri"/>
          <w:lang w:val="en-US"/>
        </w:rPr>
        <w:t>An MA or PHD granting Institution</w:t>
      </w:r>
    </w:p>
    <w:p w14:paraId="7E166870" w14:textId="77777777" w:rsidR="00EB26E8" w:rsidRPr="005841E6" w:rsidRDefault="00EB26E8" w:rsidP="00EB26E8">
      <w:pPr>
        <w:pStyle w:val="ListParagraph"/>
        <w:numPr>
          <w:ilvl w:val="0"/>
          <w:numId w:val="16"/>
        </w:numPr>
        <w:ind w:left="720"/>
        <w:rPr>
          <w:rFonts w:ascii="Cambria" w:hAnsi="Cambria" w:cs="Calibri"/>
          <w:sz w:val="24"/>
        </w:rPr>
      </w:pPr>
      <w:r w:rsidRPr="005841E6">
        <w:rPr>
          <w:rFonts w:ascii="Cambria" w:hAnsi="Cambria" w:cs="Calibri"/>
          <w:sz w:val="24"/>
        </w:rPr>
        <w:t>N/A</w:t>
      </w:r>
    </w:p>
    <w:p w14:paraId="3CB1813B" w14:textId="77777777" w:rsidR="00EB26E8" w:rsidRPr="005841E6" w:rsidRDefault="00EB26E8" w:rsidP="00EB26E8">
      <w:pPr>
        <w:pStyle w:val="ListParagraph"/>
        <w:numPr>
          <w:ilvl w:val="0"/>
          <w:numId w:val="16"/>
        </w:numPr>
        <w:ind w:left="720"/>
        <w:rPr>
          <w:rFonts w:ascii="Cambria" w:hAnsi="Cambria" w:cs="Calibri"/>
          <w:sz w:val="24"/>
          <w:lang w:val="en-US"/>
        </w:rPr>
      </w:pPr>
      <w:r w:rsidRPr="005841E6">
        <w:rPr>
          <w:rFonts w:ascii="Cambria" w:hAnsi="Cambria" w:cs="Calibri"/>
          <w:sz w:val="24"/>
          <w:lang w:val="en-US"/>
        </w:rPr>
        <w:t>Time management - more difficult for students to manage the tight timelines for 8 week courses - we have found that our students do better with shorter terms so we typically provide students with two 8 week terms in a semester.</w:t>
      </w:r>
    </w:p>
    <w:p w14:paraId="00B787AF" w14:textId="77777777" w:rsidR="00EB26E8" w:rsidRPr="005841E6" w:rsidRDefault="00EB26E8" w:rsidP="00EB26E8">
      <w:pPr>
        <w:pStyle w:val="ListParagraph"/>
        <w:numPr>
          <w:ilvl w:val="0"/>
          <w:numId w:val="16"/>
        </w:numPr>
        <w:ind w:left="720"/>
        <w:rPr>
          <w:rFonts w:ascii="Cambria" w:hAnsi="Cambria" w:cs="Calibri"/>
          <w:sz w:val="24"/>
          <w:lang w:val="en-US"/>
        </w:rPr>
      </w:pPr>
      <w:r w:rsidRPr="005841E6">
        <w:rPr>
          <w:rFonts w:ascii="Cambria" w:hAnsi="Cambria" w:cs="Calibri"/>
          <w:sz w:val="24"/>
          <w:lang w:val="en-US"/>
        </w:rPr>
        <w:t>No; all student surveying has been about their experience and preferences.</w:t>
      </w:r>
    </w:p>
    <w:p w14:paraId="1BDCF07C" w14:textId="77777777" w:rsidR="00EB26E8" w:rsidRPr="005841E6" w:rsidRDefault="00EB26E8" w:rsidP="00EB26E8">
      <w:pPr>
        <w:pStyle w:val="ListParagraph"/>
        <w:numPr>
          <w:ilvl w:val="0"/>
          <w:numId w:val="16"/>
        </w:numPr>
        <w:ind w:left="720"/>
        <w:rPr>
          <w:rFonts w:ascii="Cambria" w:hAnsi="Cambria" w:cs="Calibri"/>
          <w:sz w:val="24"/>
        </w:rPr>
      </w:pPr>
      <w:r w:rsidRPr="005841E6">
        <w:rPr>
          <w:rFonts w:ascii="Cambria" w:hAnsi="Cambria" w:cs="Calibri"/>
          <w:sz w:val="24"/>
        </w:rPr>
        <w:t>NA</w:t>
      </w:r>
    </w:p>
    <w:p w14:paraId="06028976" w14:textId="77777777" w:rsidR="00EB26E8" w:rsidRPr="005841E6" w:rsidRDefault="00EB26E8" w:rsidP="00EB26E8">
      <w:pPr>
        <w:pStyle w:val="ListParagraph"/>
        <w:numPr>
          <w:ilvl w:val="0"/>
          <w:numId w:val="16"/>
        </w:numPr>
        <w:ind w:left="720"/>
        <w:rPr>
          <w:rFonts w:ascii="Cambria" w:hAnsi="Cambria" w:cs="Calibri"/>
          <w:sz w:val="24"/>
          <w:lang w:val="en-US"/>
        </w:rPr>
      </w:pPr>
      <w:r w:rsidRPr="005841E6">
        <w:rPr>
          <w:rFonts w:ascii="Cambria" w:hAnsi="Cambria" w:cs="Calibri"/>
          <w:sz w:val="24"/>
          <w:lang w:val="en-US"/>
        </w:rPr>
        <w:t xml:space="preserve">Students appreciate synchronous interactions. They did not mind the remote as much as asynchronous. </w:t>
      </w:r>
    </w:p>
    <w:p w14:paraId="2A602CA1" w14:textId="77777777" w:rsidR="00EB26E8" w:rsidRPr="005841E6" w:rsidRDefault="00EB26E8" w:rsidP="00EB26E8">
      <w:pPr>
        <w:rPr>
          <w:rFonts w:cs="Calibri"/>
        </w:rPr>
      </w:pPr>
      <w:r w:rsidRPr="005841E6">
        <w:rPr>
          <w:rFonts w:cs="Calibri"/>
        </w:rPr>
        <w:t>A Research University</w:t>
      </w:r>
    </w:p>
    <w:p w14:paraId="469CD386" w14:textId="77777777" w:rsidR="00EB26E8" w:rsidRPr="005841E6" w:rsidRDefault="00EB26E8" w:rsidP="00EB26E8">
      <w:pPr>
        <w:pStyle w:val="ListParagraph"/>
        <w:numPr>
          <w:ilvl w:val="0"/>
          <w:numId w:val="17"/>
        </w:numPr>
        <w:ind w:left="720"/>
        <w:rPr>
          <w:rFonts w:ascii="Cambria" w:hAnsi="Cambria" w:cs="Calibri"/>
          <w:sz w:val="24"/>
          <w:lang w:val="en-US"/>
        </w:rPr>
      </w:pPr>
      <w:r w:rsidRPr="005841E6">
        <w:rPr>
          <w:rFonts w:ascii="Cambria" w:hAnsi="Cambria" w:cs="Calibri"/>
          <w:sz w:val="24"/>
          <w:lang w:val="en-US"/>
        </w:rPr>
        <w:t>The faculty and student experiences vary widely -- really, WIDELY. There are few common themes, likely in part because the college has a learning management system that was not widely used prior to this emergency. Thus, remote teaching was done very differently across the campus and student experience was different. In the performance classes (dance, art, music, engineering, architecture), the faculty familiarity with technology and whether they had appropriate technology at home greatly affected the outcomes. When faculty lacked the appropriate equipment or skills, they did not require student performances. Also, when students lacked these things, obviously, the faculty could not require performance and thus faculty had to adjust their expectations.</w:t>
      </w:r>
    </w:p>
    <w:p w14:paraId="096B9243" w14:textId="77777777" w:rsidR="00EB26E8" w:rsidRPr="005841E6" w:rsidRDefault="00EB26E8" w:rsidP="00EB26E8">
      <w:pPr>
        <w:pStyle w:val="ListParagraph"/>
        <w:numPr>
          <w:ilvl w:val="0"/>
          <w:numId w:val="17"/>
        </w:numPr>
        <w:ind w:left="720"/>
        <w:rPr>
          <w:rFonts w:ascii="Cambria" w:hAnsi="Cambria" w:cs="Calibri"/>
          <w:sz w:val="24"/>
          <w:lang w:val="en-US"/>
        </w:rPr>
      </w:pPr>
      <w:r w:rsidRPr="005841E6">
        <w:rPr>
          <w:rFonts w:ascii="Cambria" w:hAnsi="Cambria" w:cs="Calibri"/>
          <w:sz w:val="24"/>
          <w:lang w:val="en-US"/>
        </w:rPr>
        <w:t xml:space="preserve">We have such a diverse body of students that it's been eye-opening how all that diversity affects their experience. We've had to come up with a bunch of different solutions that are more tailored to specific demographics. </w:t>
      </w:r>
    </w:p>
    <w:p w14:paraId="7ED6D693" w14:textId="77777777" w:rsidR="00EB26E8" w:rsidRPr="005841E6" w:rsidRDefault="00EB26E8" w:rsidP="00EB26E8">
      <w:pPr>
        <w:pStyle w:val="ListParagraph"/>
        <w:numPr>
          <w:ilvl w:val="0"/>
          <w:numId w:val="17"/>
        </w:numPr>
        <w:ind w:left="720"/>
        <w:rPr>
          <w:rFonts w:ascii="Cambria" w:hAnsi="Cambria" w:cs="Calibri"/>
          <w:sz w:val="24"/>
          <w:lang w:val="en-US"/>
        </w:rPr>
      </w:pPr>
      <w:r w:rsidRPr="005841E6">
        <w:rPr>
          <w:rFonts w:ascii="Cambria" w:hAnsi="Cambria" w:cs="Calibri"/>
          <w:sz w:val="24"/>
          <w:lang w:val="en-US"/>
        </w:rPr>
        <w:t>There is no substitute to direct patient care</w:t>
      </w:r>
    </w:p>
    <w:p w14:paraId="12F2B520" w14:textId="77777777" w:rsidR="00EB26E8" w:rsidRPr="005841E6" w:rsidRDefault="00EB26E8" w:rsidP="00EB26E8">
      <w:pPr>
        <w:pStyle w:val="ListParagraph"/>
        <w:numPr>
          <w:ilvl w:val="0"/>
          <w:numId w:val="17"/>
        </w:numPr>
        <w:ind w:left="720"/>
        <w:rPr>
          <w:rFonts w:ascii="Cambria" w:hAnsi="Cambria" w:cs="Calibri"/>
          <w:sz w:val="24"/>
        </w:rPr>
      </w:pPr>
      <w:r w:rsidRPr="005841E6">
        <w:rPr>
          <w:rFonts w:ascii="Cambria" w:hAnsi="Cambria" w:cs="Calibri"/>
          <w:sz w:val="24"/>
        </w:rPr>
        <w:t>N/A</w:t>
      </w:r>
    </w:p>
    <w:p w14:paraId="041B3983" w14:textId="77777777" w:rsidR="00EB26E8" w:rsidRPr="005841E6" w:rsidRDefault="00EB26E8" w:rsidP="00EB26E8">
      <w:pPr>
        <w:rPr>
          <w:rFonts w:cs="Calibri"/>
        </w:rPr>
      </w:pPr>
    </w:p>
    <w:p w14:paraId="237A0280" w14:textId="77777777" w:rsidR="00EB26E8" w:rsidRPr="005841E6" w:rsidRDefault="00EB26E8" w:rsidP="00EB26E8">
      <w:pPr>
        <w:rPr>
          <w:rFonts w:cs="Calibri"/>
        </w:rPr>
      </w:pPr>
    </w:p>
    <w:p w14:paraId="73CDAC5B" w14:textId="77777777" w:rsidR="00F27142" w:rsidRDefault="00F27142" w:rsidP="00F27142"/>
    <w:p w14:paraId="345A2076" w14:textId="77777777" w:rsidR="00F27142" w:rsidRDefault="00F27142" w:rsidP="00F27142">
      <w:pPr>
        <w:pStyle w:val="Heading2"/>
      </w:pPr>
      <w:bookmarkStart w:id="2" w:name="_Toc51144256"/>
      <w:r>
        <w:t>Table 8.4.1 Have you evaluated Zoom in recent assessment efforts?</w:t>
      </w:r>
      <w:bookmarkEnd w:id="2"/>
      <w:r>
        <w:t xml:space="preserve"> </w:t>
      </w:r>
    </w:p>
    <w:p w14:paraId="009C1D06" w14:textId="77777777" w:rsidR="00F27142" w:rsidRDefault="00F27142" w:rsidP="00F27142"/>
    <w:tbl>
      <w:tblPr>
        <w:tblStyle w:val="MediumGrid3-Accent3"/>
        <w:tblW w:w="0" w:type="auto"/>
        <w:tblLook w:val="00A0" w:firstRow="1" w:lastRow="0" w:firstColumn="1" w:lastColumn="0" w:noHBand="0" w:noVBand="0"/>
      </w:tblPr>
      <w:tblGrid>
        <w:gridCol w:w="2311"/>
        <w:gridCol w:w="2343"/>
        <w:gridCol w:w="2343"/>
        <w:gridCol w:w="2343"/>
      </w:tblGrid>
      <w:tr w:rsidR="00F27142" w:rsidRPr="00505659" w14:paraId="399FBD67" w14:textId="77777777" w:rsidTr="000565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8" w:type="dxa"/>
          </w:tcPr>
          <w:p w14:paraId="00120D9B" w14:textId="77777777" w:rsidR="00F27142" w:rsidRPr="00505659" w:rsidRDefault="00F27142" w:rsidP="000565B7">
            <w:r w:rsidRPr="00505659">
              <w:t xml:space="preserve"> </w:t>
            </w:r>
          </w:p>
        </w:tc>
        <w:tc>
          <w:tcPr>
            <w:cnfStyle w:val="000010000000" w:firstRow="0" w:lastRow="0" w:firstColumn="0" w:lastColumn="0" w:oddVBand="1" w:evenVBand="0" w:oddHBand="0" w:evenHBand="0" w:firstRowFirstColumn="0" w:firstRowLastColumn="0" w:lastRowFirstColumn="0" w:lastRowLastColumn="0"/>
            <w:tcW w:w="2401" w:type="dxa"/>
          </w:tcPr>
          <w:p w14:paraId="4FA09D0B" w14:textId="77777777" w:rsidR="00F27142" w:rsidRPr="00505659" w:rsidRDefault="00F27142" w:rsidP="000565B7">
            <w:r>
              <w:t>Yes</w:t>
            </w:r>
          </w:p>
        </w:tc>
        <w:tc>
          <w:tcPr>
            <w:tcW w:w="2401" w:type="dxa"/>
          </w:tcPr>
          <w:p w14:paraId="5FB59B00" w14:textId="77777777" w:rsidR="00F27142" w:rsidRPr="00505659" w:rsidRDefault="00F27142" w:rsidP="000565B7">
            <w:pPr>
              <w:cnfStyle w:val="100000000000" w:firstRow="1" w:lastRow="0" w:firstColumn="0" w:lastColumn="0" w:oddVBand="0" w:evenVBand="0" w:oddHBand="0" w:evenHBand="0" w:firstRowFirstColumn="0" w:firstRowLastColumn="0" w:lastRowFirstColumn="0" w:lastRowLastColumn="0"/>
            </w:pPr>
            <w:r>
              <w:t>No</w:t>
            </w:r>
          </w:p>
        </w:tc>
        <w:tc>
          <w:tcPr>
            <w:cnfStyle w:val="000010000000" w:firstRow="0" w:lastRow="0" w:firstColumn="0" w:lastColumn="0" w:oddVBand="1" w:evenVBand="0" w:oddHBand="0" w:evenHBand="0" w:firstRowFirstColumn="0" w:firstRowLastColumn="0" w:lastRowFirstColumn="0" w:lastRowLastColumn="0"/>
            <w:tcW w:w="2401" w:type="dxa"/>
          </w:tcPr>
          <w:p w14:paraId="5508472F" w14:textId="77777777" w:rsidR="00F27142" w:rsidRPr="00505659" w:rsidRDefault="00F27142" w:rsidP="000565B7">
            <w:r>
              <w:t>No answer</w:t>
            </w:r>
          </w:p>
        </w:tc>
      </w:tr>
      <w:tr w:rsidR="00F27142" w:rsidRPr="00505659" w14:paraId="5E54B3DF" w14:textId="77777777" w:rsidTr="000565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8" w:type="dxa"/>
          </w:tcPr>
          <w:p w14:paraId="4031DE67" w14:textId="77777777" w:rsidR="00F27142" w:rsidRPr="00505659" w:rsidRDefault="00F27142" w:rsidP="000565B7">
            <w:r w:rsidRPr="00505659">
              <w:t>Entire sample</w:t>
            </w:r>
          </w:p>
        </w:tc>
        <w:tc>
          <w:tcPr>
            <w:cnfStyle w:val="000010000000" w:firstRow="0" w:lastRow="0" w:firstColumn="0" w:lastColumn="0" w:oddVBand="1" w:evenVBand="0" w:oddHBand="0" w:evenHBand="0" w:firstRowFirstColumn="0" w:firstRowLastColumn="0" w:lastRowFirstColumn="0" w:lastRowLastColumn="0"/>
            <w:tcW w:w="2401" w:type="dxa"/>
          </w:tcPr>
          <w:p w14:paraId="542DE1EB" w14:textId="77777777" w:rsidR="00F27142" w:rsidRPr="00505659" w:rsidRDefault="00F27142" w:rsidP="000565B7">
            <w:r w:rsidRPr="00505659">
              <w:t>79.31%</w:t>
            </w:r>
          </w:p>
        </w:tc>
        <w:tc>
          <w:tcPr>
            <w:tcW w:w="2401" w:type="dxa"/>
          </w:tcPr>
          <w:p w14:paraId="7F40DFAA" w14:textId="77777777" w:rsidR="00F27142" w:rsidRPr="00505659" w:rsidRDefault="00F27142" w:rsidP="000565B7">
            <w:pPr>
              <w:cnfStyle w:val="000000100000" w:firstRow="0" w:lastRow="0" w:firstColumn="0" w:lastColumn="0" w:oddVBand="0" w:evenVBand="0" w:oddHBand="1" w:evenHBand="0" w:firstRowFirstColumn="0" w:firstRowLastColumn="0" w:lastRowFirstColumn="0" w:lastRowLastColumn="0"/>
            </w:pPr>
            <w:r w:rsidRPr="00505659">
              <w:t>10.34%</w:t>
            </w:r>
          </w:p>
        </w:tc>
        <w:tc>
          <w:tcPr>
            <w:cnfStyle w:val="000010000000" w:firstRow="0" w:lastRow="0" w:firstColumn="0" w:lastColumn="0" w:oddVBand="1" w:evenVBand="0" w:oddHBand="0" w:evenHBand="0" w:firstRowFirstColumn="0" w:firstRowLastColumn="0" w:lastRowFirstColumn="0" w:lastRowLastColumn="0"/>
            <w:tcW w:w="2401" w:type="dxa"/>
          </w:tcPr>
          <w:p w14:paraId="76D18127" w14:textId="77777777" w:rsidR="00F27142" w:rsidRPr="00505659" w:rsidRDefault="00F27142" w:rsidP="000565B7">
            <w:r w:rsidRPr="00505659">
              <w:t>10.34%</w:t>
            </w:r>
          </w:p>
        </w:tc>
      </w:tr>
    </w:tbl>
    <w:p w14:paraId="728551D8" w14:textId="77777777" w:rsidR="00F27142" w:rsidRDefault="00F27142" w:rsidP="00F27142"/>
    <w:p w14:paraId="7FA1B184" w14:textId="77777777" w:rsidR="00F27142" w:rsidRDefault="00F27142" w:rsidP="00F27142">
      <w:pPr>
        <w:pStyle w:val="Heading2"/>
      </w:pPr>
      <w:r>
        <w:br w:type="page"/>
      </w:r>
      <w:bookmarkStart w:id="3" w:name="_Toc51144257"/>
      <w:r>
        <w:lastRenderedPageBreak/>
        <w:t>Table 8.4.2 Have you evaluated Zoom in recent assessment efforts?  Broken out by university/college type</w:t>
      </w:r>
      <w:bookmarkEnd w:id="3"/>
    </w:p>
    <w:p w14:paraId="79242470" w14:textId="77777777" w:rsidR="00F27142" w:rsidRDefault="00F27142" w:rsidP="00F27142"/>
    <w:tbl>
      <w:tblPr>
        <w:tblStyle w:val="MediumGrid3-Accent3"/>
        <w:tblW w:w="0" w:type="auto"/>
        <w:tblLook w:val="00A0" w:firstRow="1" w:lastRow="0" w:firstColumn="1" w:lastColumn="0" w:noHBand="0" w:noVBand="0"/>
      </w:tblPr>
      <w:tblGrid>
        <w:gridCol w:w="2862"/>
        <w:gridCol w:w="2217"/>
        <w:gridCol w:w="2130"/>
        <w:gridCol w:w="2131"/>
      </w:tblGrid>
      <w:tr w:rsidR="00F27142" w:rsidRPr="00505659" w14:paraId="362DCD6A" w14:textId="77777777" w:rsidTr="000565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14:paraId="7A96D6E4" w14:textId="77777777" w:rsidR="00F27142" w:rsidRPr="00505659" w:rsidRDefault="00F27142" w:rsidP="000565B7">
            <w:r w:rsidRPr="00505659">
              <w:t>University/college type</w:t>
            </w:r>
          </w:p>
        </w:tc>
        <w:tc>
          <w:tcPr>
            <w:cnfStyle w:val="000010000000" w:firstRow="0" w:lastRow="0" w:firstColumn="0" w:lastColumn="0" w:oddVBand="1" w:evenVBand="0" w:oddHBand="0" w:evenHBand="0" w:firstRowFirstColumn="0" w:firstRowLastColumn="0" w:lastRowFirstColumn="0" w:lastRowLastColumn="0"/>
            <w:tcW w:w="2281" w:type="dxa"/>
          </w:tcPr>
          <w:p w14:paraId="07BEF2ED" w14:textId="77777777" w:rsidR="00F27142" w:rsidRPr="00505659" w:rsidRDefault="00F27142" w:rsidP="000565B7">
            <w:r>
              <w:t>Yes</w:t>
            </w:r>
          </w:p>
        </w:tc>
        <w:tc>
          <w:tcPr>
            <w:tcW w:w="2196" w:type="dxa"/>
          </w:tcPr>
          <w:p w14:paraId="437A1895" w14:textId="77777777" w:rsidR="00F27142" w:rsidRPr="00505659" w:rsidRDefault="00F27142" w:rsidP="000565B7">
            <w:pPr>
              <w:cnfStyle w:val="100000000000" w:firstRow="1" w:lastRow="0" w:firstColumn="0" w:lastColumn="0" w:oddVBand="0" w:evenVBand="0" w:oddHBand="0" w:evenHBand="0" w:firstRowFirstColumn="0" w:firstRowLastColumn="0" w:lastRowFirstColumn="0" w:lastRowLastColumn="0"/>
            </w:pPr>
            <w:r>
              <w:t>No</w:t>
            </w:r>
          </w:p>
        </w:tc>
        <w:tc>
          <w:tcPr>
            <w:cnfStyle w:val="000010000000" w:firstRow="0" w:lastRow="0" w:firstColumn="0" w:lastColumn="0" w:oddVBand="1" w:evenVBand="0" w:oddHBand="0" w:evenHBand="0" w:firstRowFirstColumn="0" w:firstRowLastColumn="0" w:lastRowFirstColumn="0" w:lastRowLastColumn="0"/>
            <w:tcW w:w="2196" w:type="dxa"/>
          </w:tcPr>
          <w:p w14:paraId="3E0DE598" w14:textId="77777777" w:rsidR="00F27142" w:rsidRPr="00505659" w:rsidRDefault="00F27142" w:rsidP="000565B7">
            <w:r>
              <w:t>No answer</w:t>
            </w:r>
          </w:p>
        </w:tc>
      </w:tr>
      <w:tr w:rsidR="00F27142" w:rsidRPr="00505659" w14:paraId="387853B2" w14:textId="77777777" w:rsidTr="000565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14:paraId="162E2324" w14:textId="77777777" w:rsidR="00F27142" w:rsidRPr="00505659" w:rsidRDefault="00F27142" w:rsidP="000565B7">
            <w:r>
              <w:t>A Community College</w:t>
            </w:r>
          </w:p>
        </w:tc>
        <w:tc>
          <w:tcPr>
            <w:cnfStyle w:val="000010000000" w:firstRow="0" w:lastRow="0" w:firstColumn="0" w:lastColumn="0" w:oddVBand="1" w:evenVBand="0" w:oddHBand="0" w:evenHBand="0" w:firstRowFirstColumn="0" w:firstRowLastColumn="0" w:lastRowFirstColumn="0" w:lastRowLastColumn="0"/>
            <w:tcW w:w="2281" w:type="dxa"/>
          </w:tcPr>
          <w:p w14:paraId="0306E86F" w14:textId="77777777" w:rsidR="00F27142" w:rsidRPr="00505659" w:rsidRDefault="00F27142" w:rsidP="000565B7">
            <w:r w:rsidRPr="00505659">
              <w:t>57.14%</w:t>
            </w:r>
          </w:p>
        </w:tc>
        <w:tc>
          <w:tcPr>
            <w:tcW w:w="2196" w:type="dxa"/>
          </w:tcPr>
          <w:p w14:paraId="3B0FA152" w14:textId="77777777" w:rsidR="00F27142" w:rsidRPr="00505659" w:rsidRDefault="00F27142" w:rsidP="000565B7">
            <w:pPr>
              <w:cnfStyle w:val="000000100000" w:firstRow="0" w:lastRow="0" w:firstColumn="0" w:lastColumn="0" w:oddVBand="0" w:evenVBand="0" w:oddHBand="1" w:evenHBand="0" w:firstRowFirstColumn="0" w:firstRowLastColumn="0" w:lastRowFirstColumn="0" w:lastRowLastColumn="0"/>
            </w:pPr>
            <w:r w:rsidRPr="00505659">
              <w:t>14.29%</w:t>
            </w:r>
          </w:p>
        </w:tc>
        <w:tc>
          <w:tcPr>
            <w:cnfStyle w:val="000010000000" w:firstRow="0" w:lastRow="0" w:firstColumn="0" w:lastColumn="0" w:oddVBand="1" w:evenVBand="0" w:oddHBand="0" w:evenHBand="0" w:firstRowFirstColumn="0" w:firstRowLastColumn="0" w:lastRowFirstColumn="0" w:lastRowLastColumn="0"/>
            <w:tcW w:w="2196" w:type="dxa"/>
          </w:tcPr>
          <w:p w14:paraId="61ACAD11" w14:textId="77777777" w:rsidR="00F27142" w:rsidRPr="00505659" w:rsidRDefault="00F27142" w:rsidP="000565B7">
            <w:r w:rsidRPr="00505659">
              <w:t>28.57%</w:t>
            </w:r>
          </w:p>
        </w:tc>
      </w:tr>
      <w:tr w:rsidR="00F27142" w:rsidRPr="00505659" w14:paraId="4836A7A6" w14:textId="77777777" w:rsidTr="000565B7">
        <w:tc>
          <w:tcPr>
            <w:cnfStyle w:val="001000000000" w:firstRow="0" w:lastRow="0" w:firstColumn="1" w:lastColumn="0" w:oddVBand="0" w:evenVBand="0" w:oddHBand="0" w:evenHBand="0" w:firstRowFirstColumn="0" w:firstRowLastColumn="0" w:lastRowFirstColumn="0" w:lastRowLastColumn="0"/>
            <w:tcW w:w="2898" w:type="dxa"/>
          </w:tcPr>
          <w:p w14:paraId="7B2FAA6E" w14:textId="77777777" w:rsidR="00F27142" w:rsidRPr="00505659" w:rsidRDefault="00F27142" w:rsidP="000565B7">
            <w:r>
              <w:t>Primarily a 4-year degree granting institution</w:t>
            </w:r>
          </w:p>
        </w:tc>
        <w:tc>
          <w:tcPr>
            <w:cnfStyle w:val="000010000000" w:firstRow="0" w:lastRow="0" w:firstColumn="0" w:lastColumn="0" w:oddVBand="1" w:evenVBand="0" w:oddHBand="0" w:evenHBand="0" w:firstRowFirstColumn="0" w:firstRowLastColumn="0" w:lastRowFirstColumn="0" w:lastRowLastColumn="0"/>
            <w:tcW w:w="2281" w:type="dxa"/>
          </w:tcPr>
          <w:p w14:paraId="6EAA24D6" w14:textId="77777777" w:rsidR="00F27142" w:rsidRPr="00505659" w:rsidRDefault="00F27142" w:rsidP="000565B7">
            <w:r w:rsidRPr="00505659">
              <w:t>84.62%</w:t>
            </w:r>
          </w:p>
        </w:tc>
        <w:tc>
          <w:tcPr>
            <w:tcW w:w="2196" w:type="dxa"/>
          </w:tcPr>
          <w:p w14:paraId="10540EB8" w14:textId="77777777" w:rsidR="00F27142" w:rsidRPr="00505659" w:rsidRDefault="00F27142" w:rsidP="000565B7">
            <w:pPr>
              <w:cnfStyle w:val="000000000000" w:firstRow="0" w:lastRow="0" w:firstColumn="0" w:lastColumn="0" w:oddVBand="0" w:evenVBand="0" w:oddHBand="0" w:evenHBand="0" w:firstRowFirstColumn="0" w:firstRowLastColumn="0" w:lastRowFirstColumn="0" w:lastRowLastColumn="0"/>
            </w:pPr>
            <w:r w:rsidRPr="00505659">
              <w:t>7.69%</w:t>
            </w:r>
          </w:p>
        </w:tc>
        <w:tc>
          <w:tcPr>
            <w:cnfStyle w:val="000010000000" w:firstRow="0" w:lastRow="0" w:firstColumn="0" w:lastColumn="0" w:oddVBand="1" w:evenVBand="0" w:oddHBand="0" w:evenHBand="0" w:firstRowFirstColumn="0" w:firstRowLastColumn="0" w:lastRowFirstColumn="0" w:lastRowLastColumn="0"/>
            <w:tcW w:w="2196" w:type="dxa"/>
          </w:tcPr>
          <w:p w14:paraId="03C56EC1" w14:textId="77777777" w:rsidR="00F27142" w:rsidRPr="00505659" w:rsidRDefault="00F27142" w:rsidP="000565B7">
            <w:r w:rsidRPr="00505659">
              <w:t>7.69%</w:t>
            </w:r>
          </w:p>
        </w:tc>
      </w:tr>
      <w:tr w:rsidR="00F27142" w:rsidRPr="00505659" w14:paraId="56332608" w14:textId="77777777" w:rsidTr="000565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14:paraId="73CA545B" w14:textId="77777777" w:rsidR="00F27142" w:rsidRPr="00505659" w:rsidRDefault="00F27142" w:rsidP="000565B7">
            <w:r>
              <w:t>An MA or PHD granting Institution</w:t>
            </w:r>
          </w:p>
        </w:tc>
        <w:tc>
          <w:tcPr>
            <w:cnfStyle w:val="000010000000" w:firstRow="0" w:lastRow="0" w:firstColumn="0" w:lastColumn="0" w:oddVBand="1" w:evenVBand="0" w:oddHBand="0" w:evenHBand="0" w:firstRowFirstColumn="0" w:firstRowLastColumn="0" w:lastRowFirstColumn="0" w:lastRowLastColumn="0"/>
            <w:tcW w:w="2281" w:type="dxa"/>
          </w:tcPr>
          <w:p w14:paraId="34132B15" w14:textId="77777777" w:rsidR="00F27142" w:rsidRPr="00505659" w:rsidRDefault="00F27142" w:rsidP="000565B7">
            <w:r w:rsidRPr="00505659">
              <w:t>80.00%</w:t>
            </w:r>
          </w:p>
        </w:tc>
        <w:tc>
          <w:tcPr>
            <w:tcW w:w="2196" w:type="dxa"/>
          </w:tcPr>
          <w:p w14:paraId="5E68A090" w14:textId="77777777" w:rsidR="00F27142" w:rsidRPr="00505659" w:rsidRDefault="00F27142" w:rsidP="000565B7">
            <w:pPr>
              <w:cnfStyle w:val="000000100000" w:firstRow="0" w:lastRow="0" w:firstColumn="0" w:lastColumn="0" w:oddVBand="0" w:evenVBand="0" w:oddHBand="1" w:evenHBand="0" w:firstRowFirstColumn="0" w:firstRowLastColumn="0" w:lastRowFirstColumn="0" w:lastRowLastColumn="0"/>
            </w:pPr>
            <w:r w:rsidRPr="00505659">
              <w:t>20.00%</w:t>
            </w:r>
          </w:p>
        </w:tc>
        <w:tc>
          <w:tcPr>
            <w:cnfStyle w:val="000010000000" w:firstRow="0" w:lastRow="0" w:firstColumn="0" w:lastColumn="0" w:oddVBand="1" w:evenVBand="0" w:oddHBand="0" w:evenHBand="0" w:firstRowFirstColumn="0" w:firstRowLastColumn="0" w:lastRowFirstColumn="0" w:lastRowLastColumn="0"/>
            <w:tcW w:w="2196" w:type="dxa"/>
          </w:tcPr>
          <w:p w14:paraId="6EE4AFA4" w14:textId="77777777" w:rsidR="00F27142" w:rsidRPr="00505659" w:rsidRDefault="00F27142" w:rsidP="000565B7">
            <w:r w:rsidRPr="00505659">
              <w:t>0.00%</w:t>
            </w:r>
          </w:p>
        </w:tc>
      </w:tr>
      <w:tr w:rsidR="00F27142" w:rsidRPr="00505659" w14:paraId="15366EC4" w14:textId="77777777" w:rsidTr="000565B7">
        <w:tc>
          <w:tcPr>
            <w:cnfStyle w:val="001000000000" w:firstRow="0" w:lastRow="0" w:firstColumn="1" w:lastColumn="0" w:oddVBand="0" w:evenVBand="0" w:oddHBand="0" w:evenHBand="0" w:firstRowFirstColumn="0" w:firstRowLastColumn="0" w:lastRowFirstColumn="0" w:lastRowLastColumn="0"/>
            <w:tcW w:w="2898" w:type="dxa"/>
          </w:tcPr>
          <w:p w14:paraId="0346D9B3" w14:textId="77777777" w:rsidR="00F27142" w:rsidRPr="00505659" w:rsidRDefault="00F27142" w:rsidP="000565B7">
            <w:r>
              <w:t>A Research University</w:t>
            </w:r>
          </w:p>
        </w:tc>
        <w:tc>
          <w:tcPr>
            <w:cnfStyle w:val="000010000000" w:firstRow="0" w:lastRow="0" w:firstColumn="0" w:lastColumn="0" w:oddVBand="1" w:evenVBand="0" w:oddHBand="0" w:evenHBand="0" w:firstRowFirstColumn="0" w:firstRowLastColumn="0" w:lastRowFirstColumn="0" w:lastRowLastColumn="0"/>
            <w:tcW w:w="2281" w:type="dxa"/>
          </w:tcPr>
          <w:p w14:paraId="501A64DE" w14:textId="77777777" w:rsidR="00F27142" w:rsidRPr="00505659" w:rsidRDefault="00F27142" w:rsidP="000565B7">
            <w:r w:rsidRPr="00505659">
              <w:t>100.00%</w:t>
            </w:r>
          </w:p>
        </w:tc>
        <w:tc>
          <w:tcPr>
            <w:tcW w:w="2196" w:type="dxa"/>
          </w:tcPr>
          <w:p w14:paraId="1F9C8560" w14:textId="77777777" w:rsidR="00F27142" w:rsidRPr="00505659" w:rsidRDefault="00F27142" w:rsidP="000565B7">
            <w:pPr>
              <w:cnfStyle w:val="000000000000" w:firstRow="0" w:lastRow="0" w:firstColumn="0" w:lastColumn="0" w:oddVBand="0" w:evenVBand="0" w:oddHBand="0" w:evenHBand="0" w:firstRowFirstColumn="0" w:firstRowLastColumn="0" w:lastRowFirstColumn="0" w:lastRowLastColumn="0"/>
            </w:pPr>
            <w:r w:rsidRPr="00505659">
              <w:t>0.00%</w:t>
            </w:r>
          </w:p>
        </w:tc>
        <w:tc>
          <w:tcPr>
            <w:cnfStyle w:val="000010000000" w:firstRow="0" w:lastRow="0" w:firstColumn="0" w:lastColumn="0" w:oddVBand="1" w:evenVBand="0" w:oddHBand="0" w:evenHBand="0" w:firstRowFirstColumn="0" w:firstRowLastColumn="0" w:lastRowFirstColumn="0" w:lastRowLastColumn="0"/>
            <w:tcW w:w="2196" w:type="dxa"/>
          </w:tcPr>
          <w:p w14:paraId="52B56D7E" w14:textId="77777777" w:rsidR="00F27142" w:rsidRPr="00505659" w:rsidRDefault="00F27142" w:rsidP="000565B7">
            <w:r w:rsidRPr="00505659">
              <w:t>0.00%</w:t>
            </w:r>
          </w:p>
        </w:tc>
      </w:tr>
    </w:tbl>
    <w:p w14:paraId="64440F92" w14:textId="77777777" w:rsidR="00F27142" w:rsidRDefault="00F27142" w:rsidP="00F27142"/>
    <w:p w14:paraId="221640FD" w14:textId="77777777" w:rsidR="00F27142" w:rsidRDefault="00F27142" w:rsidP="00F27142"/>
    <w:p w14:paraId="4AC7E16F" w14:textId="77777777" w:rsidR="00F27142" w:rsidRDefault="00F27142" w:rsidP="00F27142">
      <w:pPr>
        <w:pStyle w:val="Heading2"/>
      </w:pPr>
      <w:bookmarkStart w:id="4" w:name="_Toc51144258"/>
      <w:r>
        <w:t>Table 8.4.3 Have you evaluated Zoom in recent assessment efforts?  Broken out by Public or Private</w:t>
      </w:r>
      <w:bookmarkEnd w:id="4"/>
    </w:p>
    <w:p w14:paraId="712029A7" w14:textId="77777777" w:rsidR="00F27142" w:rsidRDefault="00F27142" w:rsidP="00F27142"/>
    <w:tbl>
      <w:tblPr>
        <w:tblStyle w:val="MediumGrid3-Accent3"/>
        <w:tblW w:w="0" w:type="auto"/>
        <w:tblLook w:val="00A0" w:firstRow="1" w:lastRow="0" w:firstColumn="1" w:lastColumn="0" w:noHBand="0" w:noVBand="0"/>
      </w:tblPr>
      <w:tblGrid>
        <w:gridCol w:w="2442"/>
        <w:gridCol w:w="2299"/>
        <w:gridCol w:w="2299"/>
        <w:gridCol w:w="2300"/>
      </w:tblGrid>
      <w:tr w:rsidR="00F27142" w:rsidRPr="00505659" w14:paraId="2D9A5959" w14:textId="77777777" w:rsidTr="000565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3" w:type="dxa"/>
          </w:tcPr>
          <w:p w14:paraId="79EACCB2" w14:textId="77777777" w:rsidR="00F27142" w:rsidRPr="00505659" w:rsidRDefault="00F27142" w:rsidP="000565B7">
            <w:r>
              <w:t>Public or Private</w:t>
            </w:r>
          </w:p>
        </w:tc>
        <w:tc>
          <w:tcPr>
            <w:cnfStyle w:val="000010000000" w:firstRow="0" w:lastRow="0" w:firstColumn="0" w:lastColumn="0" w:oddVBand="1" w:evenVBand="0" w:oddHBand="0" w:evenHBand="0" w:firstRowFirstColumn="0" w:firstRowLastColumn="0" w:lastRowFirstColumn="0" w:lastRowLastColumn="0"/>
            <w:tcW w:w="2356" w:type="dxa"/>
          </w:tcPr>
          <w:p w14:paraId="3FBBD18F" w14:textId="77777777" w:rsidR="00F27142" w:rsidRPr="00505659" w:rsidRDefault="00F27142" w:rsidP="000565B7">
            <w:r>
              <w:t>Yes</w:t>
            </w:r>
          </w:p>
        </w:tc>
        <w:tc>
          <w:tcPr>
            <w:tcW w:w="2356" w:type="dxa"/>
          </w:tcPr>
          <w:p w14:paraId="23632F65" w14:textId="77777777" w:rsidR="00F27142" w:rsidRPr="00505659" w:rsidRDefault="00F27142" w:rsidP="000565B7">
            <w:pPr>
              <w:cnfStyle w:val="100000000000" w:firstRow="1" w:lastRow="0" w:firstColumn="0" w:lastColumn="0" w:oddVBand="0" w:evenVBand="0" w:oddHBand="0" w:evenHBand="0" w:firstRowFirstColumn="0" w:firstRowLastColumn="0" w:lastRowFirstColumn="0" w:lastRowLastColumn="0"/>
            </w:pPr>
            <w:r>
              <w:t>No</w:t>
            </w:r>
          </w:p>
        </w:tc>
        <w:tc>
          <w:tcPr>
            <w:cnfStyle w:val="000010000000" w:firstRow="0" w:lastRow="0" w:firstColumn="0" w:lastColumn="0" w:oddVBand="1" w:evenVBand="0" w:oddHBand="0" w:evenHBand="0" w:firstRowFirstColumn="0" w:firstRowLastColumn="0" w:lastRowFirstColumn="0" w:lastRowLastColumn="0"/>
            <w:tcW w:w="2356" w:type="dxa"/>
          </w:tcPr>
          <w:p w14:paraId="2F1E045E" w14:textId="77777777" w:rsidR="00F27142" w:rsidRPr="00505659" w:rsidRDefault="00F27142" w:rsidP="000565B7">
            <w:r>
              <w:t>No answer</w:t>
            </w:r>
          </w:p>
        </w:tc>
      </w:tr>
      <w:tr w:rsidR="00F27142" w:rsidRPr="00505659" w14:paraId="00FAF542" w14:textId="77777777" w:rsidTr="000565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3" w:type="dxa"/>
          </w:tcPr>
          <w:p w14:paraId="156284F3" w14:textId="77777777" w:rsidR="00F27142" w:rsidRPr="00505659" w:rsidRDefault="00F27142" w:rsidP="000565B7">
            <w:r>
              <w:t>A public college</w:t>
            </w:r>
          </w:p>
        </w:tc>
        <w:tc>
          <w:tcPr>
            <w:cnfStyle w:val="000010000000" w:firstRow="0" w:lastRow="0" w:firstColumn="0" w:lastColumn="0" w:oddVBand="1" w:evenVBand="0" w:oddHBand="0" w:evenHBand="0" w:firstRowFirstColumn="0" w:firstRowLastColumn="0" w:lastRowFirstColumn="0" w:lastRowLastColumn="0"/>
            <w:tcW w:w="2356" w:type="dxa"/>
          </w:tcPr>
          <w:p w14:paraId="7F931B0A" w14:textId="77777777" w:rsidR="00F27142" w:rsidRPr="00505659" w:rsidRDefault="00F27142" w:rsidP="000565B7">
            <w:r w:rsidRPr="00505659">
              <w:t>77.78%</w:t>
            </w:r>
          </w:p>
        </w:tc>
        <w:tc>
          <w:tcPr>
            <w:tcW w:w="2356" w:type="dxa"/>
          </w:tcPr>
          <w:p w14:paraId="49815AC0" w14:textId="77777777" w:rsidR="00F27142" w:rsidRPr="00505659" w:rsidRDefault="00F27142" w:rsidP="000565B7">
            <w:pPr>
              <w:cnfStyle w:val="000000100000" w:firstRow="0" w:lastRow="0" w:firstColumn="0" w:lastColumn="0" w:oddVBand="0" w:evenVBand="0" w:oddHBand="1" w:evenHBand="0" w:firstRowFirstColumn="0" w:firstRowLastColumn="0" w:lastRowFirstColumn="0" w:lastRowLastColumn="0"/>
            </w:pPr>
            <w:r w:rsidRPr="00505659">
              <w:t>11.11%</w:t>
            </w:r>
          </w:p>
        </w:tc>
        <w:tc>
          <w:tcPr>
            <w:cnfStyle w:val="000010000000" w:firstRow="0" w:lastRow="0" w:firstColumn="0" w:lastColumn="0" w:oddVBand="1" w:evenVBand="0" w:oddHBand="0" w:evenHBand="0" w:firstRowFirstColumn="0" w:firstRowLastColumn="0" w:lastRowFirstColumn="0" w:lastRowLastColumn="0"/>
            <w:tcW w:w="2356" w:type="dxa"/>
          </w:tcPr>
          <w:p w14:paraId="02834501" w14:textId="77777777" w:rsidR="00F27142" w:rsidRPr="00505659" w:rsidRDefault="00F27142" w:rsidP="000565B7">
            <w:r w:rsidRPr="00505659">
              <w:t>11.11%</w:t>
            </w:r>
          </w:p>
        </w:tc>
      </w:tr>
      <w:tr w:rsidR="00F27142" w:rsidRPr="00505659" w14:paraId="1E528228" w14:textId="77777777" w:rsidTr="000565B7">
        <w:tc>
          <w:tcPr>
            <w:cnfStyle w:val="001000000000" w:firstRow="0" w:lastRow="0" w:firstColumn="1" w:lastColumn="0" w:oddVBand="0" w:evenVBand="0" w:oddHBand="0" w:evenHBand="0" w:firstRowFirstColumn="0" w:firstRowLastColumn="0" w:lastRowFirstColumn="0" w:lastRowLastColumn="0"/>
            <w:tcW w:w="2503" w:type="dxa"/>
          </w:tcPr>
          <w:p w14:paraId="369F99CE" w14:textId="77777777" w:rsidR="00F27142" w:rsidRPr="00505659" w:rsidRDefault="00F27142" w:rsidP="000565B7">
            <w:r>
              <w:t>A private college</w:t>
            </w:r>
          </w:p>
        </w:tc>
        <w:tc>
          <w:tcPr>
            <w:cnfStyle w:val="000010000000" w:firstRow="0" w:lastRow="0" w:firstColumn="0" w:lastColumn="0" w:oddVBand="1" w:evenVBand="0" w:oddHBand="0" w:evenHBand="0" w:firstRowFirstColumn="0" w:firstRowLastColumn="0" w:lastRowFirstColumn="0" w:lastRowLastColumn="0"/>
            <w:tcW w:w="2356" w:type="dxa"/>
          </w:tcPr>
          <w:p w14:paraId="23DC407C" w14:textId="77777777" w:rsidR="00F27142" w:rsidRPr="00505659" w:rsidRDefault="00F27142" w:rsidP="000565B7">
            <w:r w:rsidRPr="00505659">
              <w:t>81.82%</w:t>
            </w:r>
          </w:p>
        </w:tc>
        <w:tc>
          <w:tcPr>
            <w:tcW w:w="2356" w:type="dxa"/>
          </w:tcPr>
          <w:p w14:paraId="53A294CF" w14:textId="77777777" w:rsidR="00F27142" w:rsidRPr="00505659" w:rsidRDefault="00F27142" w:rsidP="000565B7">
            <w:pPr>
              <w:cnfStyle w:val="000000000000" w:firstRow="0" w:lastRow="0" w:firstColumn="0" w:lastColumn="0" w:oddVBand="0" w:evenVBand="0" w:oddHBand="0" w:evenHBand="0" w:firstRowFirstColumn="0" w:firstRowLastColumn="0" w:lastRowFirstColumn="0" w:lastRowLastColumn="0"/>
            </w:pPr>
            <w:r w:rsidRPr="00505659">
              <w:t>9.09%</w:t>
            </w:r>
          </w:p>
        </w:tc>
        <w:tc>
          <w:tcPr>
            <w:cnfStyle w:val="000010000000" w:firstRow="0" w:lastRow="0" w:firstColumn="0" w:lastColumn="0" w:oddVBand="1" w:evenVBand="0" w:oddHBand="0" w:evenHBand="0" w:firstRowFirstColumn="0" w:firstRowLastColumn="0" w:lastRowFirstColumn="0" w:lastRowLastColumn="0"/>
            <w:tcW w:w="2356" w:type="dxa"/>
          </w:tcPr>
          <w:p w14:paraId="1F33B925" w14:textId="77777777" w:rsidR="00F27142" w:rsidRPr="00505659" w:rsidRDefault="00F27142" w:rsidP="000565B7">
            <w:r w:rsidRPr="00505659">
              <w:t>9.09%</w:t>
            </w:r>
          </w:p>
        </w:tc>
      </w:tr>
    </w:tbl>
    <w:p w14:paraId="5E57F778" w14:textId="77777777" w:rsidR="00F27142" w:rsidRDefault="00F27142" w:rsidP="00F27142"/>
    <w:p w14:paraId="6FBDA69C" w14:textId="77777777" w:rsidR="00F27142" w:rsidRDefault="00F27142" w:rsidP="00F27142"/>
    <w:p w14:paraId="59AD9DB7" w14:textId="77777777" w:rsidR="00F27142" w:rsidRDefault="00F27142" w:rsidP="00F27142">
      <w:pPr>
        <w:pStyle w:val="Heading2"/>
      </w:pPr>
      <w:bookmarkStart w:id="5" w:name="_Toc51144259"/>
      <w:r>
        <w:t xml:space="preserve">Table 8.4.4 Have you evaluated Zoom in recent assessment efforts?  Broken out by </w:t>
      </w:r>
      <w:proofErr w:type="spellStart"/>
      <w:r>
        <w:t>enrollment</w:t>
      </w:r>
      <w:bookmarkEnd w:id="5"/>
      <w:proofErr w:type="spellEnd"/>
    </w:p>
    <w:p w14:paraId="748856CF" w14:textId="77777777" w:rsidR="00F27142" w:rsidRDefault="00F27142" w:rsidP="00F27142"/>
    <w:tbl>
      <w:tblPr>
        <w:tblStyle w:val="MediumGrid3-Accent3"/>
        <w:tblW w:w="0" w:type="auto"/>
        <w:tblLook w:val="00A0" w:firstRow="1" w:lastRow="0" w:firstColumn="1" w:lastColumn="0" w:noHBand="0" w:noVBand="0"/>
      </w:tblPr>
      <w:tblGrid>
        <w:gridCol w:w="2505"/>
        <w:gridCol w:w="2278"/>
        <w:gridCol w:w="2278"/>
        <w:gridCol w:w="2279"/>
      </w:tblGrid>
      <w:tr w:rsidR="00F27142" w:rsidRPr="00505659" w14:paraId="64145EF7" w14:textId="77777777" w:rsidTr="000565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4" w:type="dxa"/>
          </w:tcPr>
          <w:p w14:paraId="2D774188" w14:textId="77777777" w:rsidR="00F27142" w:rsidRPr="00505659" w:rsidRDefault="00F27142" w:rsidP="000565B7">
            <w:proofErr w:type="spellStart"/>
            <w:r w:rsidRPr="00505659">
              <w:t>Enrollment</w:t>
            </w:r>
            <w:proofErr w:type="spellEnd"/>
          </w:p>
        </w:tc>
        <w:tc>
          <w:tcPr>
            <w:cnfStyle w:val="000010000000" w:firstRow="0" w:lastRow="0" w:firstColumn="0" w:lastColumn="0" w:oddVBand="1" w:evenVBand="0" w:oddHBand="0" w:evenHBand="0" w:firstRowFirstColumn="0" w:firstRowLastColumn="0" w:lastRowFirstColumn="0" w:lastRowLastColumn="0"/>
            <w:tcW w:w="2339" w:type="dxa"/>
          </w:tcPr>
          <w:p w14:paraId="5319BB79" w14:textId="77777777" w:rsidR="00F27142" w:rsidRPr="00505659" w:rsidRDefault="00F27142" w:rsidP="000565B7">
            <w:r>
              <w:t>Yes</w:t>
            </w:r>
          </w:p>
        </w:tc>
        <w:tc>
          <w:tcPr>
            <w:tcW w:w="2339" w:type="dxa"/>
          </w:tcPr>
          <w:p w14:paraId="1D39EC39" w14:textId="77777777" w:rsidR="00F27142" w:rsidRPr="00505659" w:rsidRDefault="00F27142" w:rsidP="000565B7">
            <w:pPr>
              <w:cnfStyle w:val="100000000000" w:firstRow="1" w:lastRow="0" w:firstColumn="0" w:lastColumn="0" w:oddVBand="0" w:evenVBand="0" w:oddHBand="0" w:evenHBand="0" w:firstRowFirstColumn="0" w:firstRowLastColumn="0" w:lastRowFirstColumn="0" w:lastRowLastColumn="0"/>
            </w:pPr>
            <w:r>
              <w:t>No</w:t>
            </w:r>
          </w:p>
        </w:tc>
        <w:tc>
          <w:tcPr>
            <w:cnfStyle w:val="000010000000" w:firstRow="0" w:lastRow="0" w:firstColumn="0" w:lastColumn="0" w:oddVBand="1" w:evenVBand="0" w:oddHBand="0" w:evenHBand="0" w:firstRowFirstColumn="0" w:firstRowLastColumn="0" w:lastRowFirstColumn="0" w:lastRowLastColumn="0"/>
            <w:tcW w:w="2339" w:type="dxa"/>
          </w:tcPr>
          <w:p w14:paraId="52280353" w14:textId="77777777" w:rsidR="00F27142" w:rsidRPr="00505659" w:rsidRDefault="00F27142" w:rsidP="000565B7">
            <w:r>
              <w:t>No answer</w:t>
            </w:r>
          </w:p>
        </w:tc>
      </w:tr>
      <w:tr w:rsidR="00F27142" w:rsidRPr="00505659" w14:paraId="1FDC0D76" w14:textId="77777777" w:rsidTr="000565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4" w:type="dxa"/>
          </w:tcPr>
          <w:p w14:paraId="7C8C256F" w14:textId="77777777" w:rsidR="00F27142" w:rsidRPr="00505659" w:rsidRDefault="00F27142" w:rsidP="000565B7">
            <w:r>
              <w:t>Less than 2500</w:t>
            </w:r>
          </w:p>
        </w:tc>
        <w:tc>
          <w:tcPr>
            <w:cnfStyle w:val="000010000000" w:firstRow="0" w:lastRow="0" w:firstColumn="0" w:lastColumn="0" w:oddVBand="1" w:evenVBand="0" w:oddHBand="0" w:evenHBand="0" w:firstRowFirstColumn="0" w:firstRowLastColumn="0" w:lastRowFirstColumn="0" w:lastRowLastColumn="0"/>
            <w:tcW w:w="2339" w:type="dxa"/>
          </w:tcPr>
          <w:p w14:paraId="27850F42" w14:textId="77777777" w:rsidR="00F27142" w:rsidRPr="00505659" w:rsidRDefault="00F27142" w:rsidP="000565B7">
            <w:r w:rsidRPr="00505659">
              <w:t>57.14%</w:t>
            </w:r>
          </w:p>
        </w:tc>
        <w:tc>
          <w:tcPr>
            <w:tcW w:w="2339" w:type="dxa"/>
          </w:tcPr>
          <w:p w14:paraId="36A71B3D" w14:textId="77777777" w:rsidR="00F27142" w:rsidRPr="00505659" w:rsidRDefault="00F27142" w:rsidP="000565B7">
            <w:pPr>
              <w:cnfStyle w:val="000000100000" w:firstRow="0" w:lastRow="0" w:firstColumn="0" w:lastColumn="0" w:oddVBand="0" w:evenVBand="0" w:oddHBand="1" w:evenHBand="0" w:firstRowFirstColumn="0" w:firstRowLastColumn="0" w:lastRowFirstColumn="0" w:lastRowLastColumn="0"/>
            </w:pPr>
            <w:r w:rsidRPr="00505659">
              <w:t>14.29%</w:t>
            </w:r>
          </w:p>
        </w:tc>
        <w:tc>
          <w:tcPr>
            <w:cnfStyle w:val="000010000000" w:firstRow="0" w:lastRow="0" w:firstColumn="0" w:lastColumn="0" w:oddVBand="1" w:evenVBand="0" w:oddHBand="0" w:evenHBand="0" w:firstRowFirstColumn="0" w:firstRowLastColumn="0" w:lastRowFirstColumn="0" w:lastRowLastColumn="0"/>
            <w:tcW w:w="2339" w:type="dxa"/>
          </w:tcPr>
          <w:p w14:paraId="43CCB8D8" w14:textId="77777777" w:rsidR="00F27142" w:rsidRPr="00505659" w:rsidRDefault="00F27142" w:rsidP="000565B7">
            <w:r w:rsidRPr="00505659">
              <w:t>28.57%</w:t>
            </w:r>
          </w:p>
        </w:tc>
      </w:tr>
      <w:tr w:rsidR="00F27142" w:rsidRPr="00505659" w14:paraId="5D9523B2" w14:textId="77777777" w:rsidTr="000565B7">
        <w:tc>
          <w:tcPr>
            <w:cnfStyle w:val="001000000000" w:firstRow="0" w:lastRow="0" w:firstColumn="1" w:lastColumn="0" w:oddVBand="0" w:evenVBand="0" w:oddHBand="0" w:evenHBand="0" w:firstRowFirstColumn="0" w:firstRowLastColumn="0" w:lastRowFirstColumn="0" w:lastRowLastColumn="0"/>
            <w:tcW w:w="2554" w:type="dxa"/>
          </w:tcPr>
          <w:p w14:paraId="57FD3D49" w14:textId="77777777" w:rsidR="00F27142" w:rsidRPr="00505659" w:rsidRDefault="00F27142" w:rsidP="000565B7">
            <w:r>
              <w:t>2500 - 5000</w:t>
            </w:r>
          </w:p>
        </w:tc>
        <w:tc>
          <w:tcPr>
            <w:cnfStyle w:val="000010000000" w:firstRow="0" w:lastRow="0" w:firstColumn="0" w:lastColumn="0" w:oddVBand="1" w:evenVBand="0" w:oddHBand="0" w:evenHBand="0" w:firstRowFirstColumn="0" w:firstRowLastColumn="0" w:lastRowFirstColumn="0" w:lastRowLastColumn="0"/>
            <w:tcW w:w="2339" w:type="dxa"/>
          </w:tcPr>
          <w:p w14:paraId="2924F60F" w14:textId="77777777" w:rsidR="00F27142" w:rsidRPr="00505659" w:rsidRDefault="00F27142" w:rsidP="000565B7">
            <w:r w:rsidRPr="00505659">
              <w:t>87.50%</w:t>
            </w:r>
          </w:p>
        </w:tc>
        <w:tc>
          <w:tcPr>
            <w:tcW w:w="2339" w:type="dxa"/>
          </w:tcPr>
          <w:p w14:paraId="0A005D71" w14:textId="77777777" w:rsidR="00F27142" w:rsidRPr="00505659" w:rsidRDefault="00F27142" w:rsidP="000565B7">
            <w:pPr>
              <w:cnfStyle w:val="000000000000" w:firstRow="0" w:lastRow="0" w:firstColumn="0" w:lastColumn="0" w:oddVBand="0" w:evenVBand="0" w:oddHBand="0" w:evenHBand="0" w:firstRowFirstColumn="0" w:firstRowLastColumn="0" w:lastRowFirstColumn="0" w:lastRowLastColumn="0"/>
            </w:pPr>
            <w:r w:rsidRPr="00505659">
              <w:t>12.50%</w:t>
            </w:r>
          </w:p>
        </w:tc>
        <w:tc>
          <w:tcPr>
            <w:cnfStyle w:val="000010000000" w:firstRow="0" w:lastRow="0" w:firstColumn="0" w:lastColumn="0" w:oddVBand="1" w:evenVBand="0" w:oddHBand="0" w:evenHBand="0" w:firstRowFirstColumn="0" w:firstRowLastColumn="0" w:lastRowFirstColumn="0" w:lastRowLastColumn="0"/>
            <w:tcW w:w="2339" w:type="dxa"/>
          </w:tcPr>
          <w:p w14:paraId="4B0D702C" w14:textId="77777777" w:rsidR="00F27142" w:rsidRPr="00505659" w:rsidRDefault="00F27142" w:rsidP="000565B7">
            <w:r w:rsidRPr="00505659">
              <w:t>0.00%</w:t>
            </w:r>
          </w:p>
        </w:tc>
      </w:tr>
      <w:tr w:rsidR="00F27142" w:rsidRPr="00505659" w14:paraId="27A9C202" w14:textId="77777777" w:rsidTr="000565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4" w:type="dxa"/>
          </w:tcPr>
          <w:p w14:paraId="3D874A17" w14:textId="77777777" w:rsidR="00F27142" w:rsidRPr="00505659" w:rsidRDefault="00F27142" w:rsidP="000565B7">
            <w:r>
              <w:t>5001 - 10000</w:t>
            </w:r>
          </w:p>
        </w:tc>
        <w:tc>
          <w:tcPr>
            <w:cnfStyle w:val="000010000000" w:firstRow="0" w:lastRow="0" w:firstColumn="0" w:lastColumn="0" w:oddVBand="1" w:evenVBand="0" w:oddHBand="0" w:evenHBand="0" w:firstRowFirstColumn="0" w:firstRowLastColumn="0" w:lastRowFirstColumn="0" w:lastRowLastColumn="0"/>
            <w:tcW w:w="2339" w:type="dxa"/>
          </w:tcPr>
          <w:p w14:paraId="0A3239D0" w14:textId="77777777" w:rsidR="00F27142" w:rsidRPr="00505659" w:rsidRDefault="00F27142" w:rsidP="000565B7">
            <w:r w:rsidRPr="00505659">
              <w:t>85.71%</w:t>
            </w:r>
          </w:p>
        </w:tc>
        <w:tc>
          <w:tcPr>
            <w:tcW w:w="2339" w:type="dxa"/>
          </w:tcPr>
          <w:p w14:paraId="43E091CA" w14:textId="77777777" w:rsidR="00F27142" w:rsidRPr="00505659" w:rsidRDefault="00F27142" w:rsidP="000565B7">
            <w:pPr>
              <w:cnfStyle w:val="000000100000" w:firstRow="0" w:lastRow="0" w:firstColumn="0" w:lastColumn="0" w:oddVBand="0" w:evenVBand="0" w:oddHBand="1" w:evenHBand="0" w:firstRowFirstColumn="0" w:firstRowLastColumn="0" w:lastRowFirstColumn="0" w:lastRowLastColumn="0"/>
            </w:pPr>
            <w:r w:rsidRPr="00505659">
              <w:t>0.00%</w:t>
            </w:r>
          </w:p>
        </w:tc>
        <w:tc>
          <w:tcPr>
            <w:cnfStyle w:val="000010000000" w:firstRow="0" w:lastRow="0" w:firstColumn="0" w:lastColumn="0" w:oddVBand="1" w:evenVBand="0" w:oddHBand="0" w:evenHBand="0" w:firstRowFirstColumn="0" w:firstRowLastColumn="0" w:lastRowFirstColumn="0" w:lastRowLastColumn="0"/>
            <w:tcW w:w="2339" w:type="dxa"/>
          </w:tcPr>
          <w:p w14:paraId="1945D930" w14:textId="77777777" w:rsidR="00F27142" w:rsidRPr="00505659" w:rsidRDefault="00F27142" w:rsidP="000565B7">
            <w:r w:rsidRPr="00505659">
              <w:t>14.29%</w:t>
            </w:r>
          </w:p>
        </w:tc>
      </w:tr>
      <w:tr w:rsidR="00F27142" w:rsidRPr="00505659" w14:paraId="0C352489" w14:textId="77777777" w:rsidTr="000565B7">
        <w:tc>
          <w:tcPr>
            <w:cnfStyle w:val="001000000000" w:firstRow="0" w:lastRow="0" w:firstColumn="1" w:lastColumn="0" w:oddVBand="0" w:evenVBand="0" w:oddHBand="0" w:evenHBand="0" w:firstRowFirstColumn="0" w:firstRowLastColumn="0" w:lastRowFirstColumn="0" w:lastRowLastColumn="0"/>
            <w:tcW w:w="2554" w:type="dxa"/>
          </w:tcPr>
          <w:p w14:paraId="368489B7" w14:textId="77777777" w:rsidR="00F27142" w:rsidRPr="00505659" w:rsidRDefault="00F27142" w:rsidP="000565B7">
            <w:r>
              <w:t>More than 10000</w:t>
            </w:r>
          </w:p>
        </w:tc>
        <w:tc>
          <w:tcPr>
            <w:cnfStyle w:val="000010000000" w:firstRow="0" w:lastRow="0" w:firstColumn="0" w:lastColumn="0" w:oddVBand="1" w:evenVBand="0" w:oddHBand="0" w:evenHBand="0" w:firstRowFirstColumn="0" w:firstRowLastColumn="0" w:lastRowFirstColumn="0" w:lastRowLastColumn="0"/>
            <w:tcW w:w="2339" w:type="dxa"/>
          </w:tcPr>
          <w:p w14:paraId="15A3F3CB" w14:textId="77777777" w:rsidR="00F27142" w:rsidRPr="00505659" w:rsidRDefault="00F27142" w:rsidP="000565B7">
            <w:r w:rsidRPr="00505659">
              <w:t>85.71%</w:t>
            </w:r>
          </w:p>
        </w:tc>
        <w:tc>
          <w:tcPr>
            <w:tcW w:w="2339" w:type="dxa"/>
          </w:tcPr>
          <w:p w14:paraId="4DCC8312" w14:textId="77777777" w:rsidR="00F27142" w:rsidRPr="00505659" w:rsidRDefault="00F27142" w:rsidP="000565B7">
            <w:pPr>
              <w:cnfStyle w:val="000000000000" w:firstRow="0" w:lastRow="0" w:firstColumn="0" w:lastColumn="0" w:oddVBand="0" w:evenVBand="0" w:oddHBand="0" w:evenHBand="0" w:firstRowFirstColumn="0" w:firstRowLastColumn="0" w:lastRowFirstColumn="0" w:lastRowLastColumn="0"/>
            </w:pPr>
            <w:r w:rsidRPr="00505659">
              <w:t>14.29%</w:t>
            </w:r>
          </w:p>
        </w:tc>
        <w:tc>
          <w:tcPr>
            <w:cnfStyle w:val="000010000000" w:firstRow="0" w:lastRow="0" w:firstColumn="0" w:lastColumn="0" w:oddVBand="1" w:evenVBand="0" w:oddHBand="0" w:evenHBand="0" w:firstRowFirstColumn="0" w:firstRowLastColumn="0" w:lastRowFirstColumn="0" w:lastRowLastColumn="0"/>
            <w:tcW w:w="2339" w:type="dxa"/>
          </w:tcPr>
          <w:p w14:paraId="39CD1897" w14:textId="77777777" w:rsidR="00F27142" w:rsidRPr="00505659" w:rsidRDefault="00F27142" w:rsidP="000565B7">
            <w:r w:rsidRPr="00505659">
              <w:t>0.00%</w:t>
            </w:r>
          </w:p>
        </w:tc>
      </w:tr>
    </w:tbl>
    <w:p w14:paraId="6DC760C7" w14:textId="77777777" w:rsidR="00F27142" w:rsidRDefault="00F27142" w:rsidP="00F27142"/>
    <w:p w14:paraId="14D8974D" w14:textId="77777777" w:rsidR="00F27142" w:rsidRDefault="00F27142" w:rsidP="00F27142"/>
    <w:p w14:paraId="543112C1" w14:textId="77777777" w:rsidR="00F27142" w:rsidRDefault="00F27142" w:rsidP="00F27142">
      <w:pPr>
        <w:pStyle w:val="Heading2"/>
      </w:pPr>
      <w:bookmarkStart w:id="6" w:name="_Toc51144260"/>
      <w:r>
        <w:t>Table 8.4.5 Have you evaluated Zoom in recent assessment efforts?  Broken out by tuition, $</w:t>
      </w:r>
      <w:bookmarkEnd w:id="6"/>
    </w:p>
    <w:p w14:paraId="79A94F46" w14:textId="77777777" w:rsidR="00F27142" w:rsidRDefault="00F27142" w:rsidP="00F27142"/>
    <w:tbl>
      <w:tblPr>
        <w:tblStyle w:val="MediumGrid3-Accent3"/>
        <w:tblW w:w="0" w:type="auto"/>
        <w:tblLook w:val="00A0" w:firstRow="1" w:lastRow="0" w:firstColumn="1" w:lastColumn="0" w:noHBand="0" w:noVBand="0"/>
      </w:tblPr>
      <w:tblGrid>
        <w:gridCol w:w="2319"/>
        <w:gridCol w:w="2393"/>
        <w:gridCol w:w="2314"/>
        <w:gridCol w:w="2314"/>
      </w:tblGrid>
      <w:tr w:rsidR="00F27142" w:rsidRPr="00505659" w14:paraId="07A489D6" w14:textId="77777777" w:rsidTr="000565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5" w:type="dxa"/>
          </w:tcPr>
          <w:p w14:paraId="6F533679" w14:textId="77777777" w:rsidR="00F27142" w:rsidRPr="00505659" w:rsidRDefault="00F27142" w:rsidP="000565B7">
            <w:r w:rsidRPr="00505659">
              <w:t>Tuition, $</w:t>
            </w:r>
          </w:p>
        </w:tc>
        <w:tc>
          <w:tcPr>
            <w:cnfStyle w:val="000010000000" w:firstRow="0" w:lastRow="0" w:firstColumn="0" w:lastColumn="0" w:oddVBand="1" w:evenVBand="0" w:oddHBand="0" w:evenHBand="0" w:firstRowFirstColumn="0" w:firstRowLastColumn="0" w:lastRowFirstColumn="0" w:lastRowLastColumn="0"/>
            <w:tcW w:w="2450" w:type="dxa"/>
          </w:tcPr>
          <w:p w14:paraId="665DBE82" w14:textId="77777777" w:rsidR="00F27142" w:rsidRPr="00505659" w:rsidRDefault="00F27142" w:rsidP="000565B7">
            <w:r>
              <w:t>Yes</w:t>
            </w:r>
          </w:p>
        </w:tc>
        <w:tc>
          <w:tcPr>
            <w:tcW w:w="2373" w:type="dxa"/>
          </w:tcPr>
          <w:p w14:paraId="3562797D" w14:textId="77777777" w:rsidR="00F27142" w:rsidRPr="00505659" w:rsidRDefault="00F27142" w:rsidP="000565B7">
            <w:pPr>
              <w:cnfStyle w:val="100000000000" w:firstRow="1" w:lastRow="0" w:firstColumn="0" w:lastColumn="0" w:oddVBand="0" w:evenVBand="0" w:oddHBand="0" w:evenHBand="0" w:firstRowFirstColumn="0" w:firstRowLastColumn="0" w:lastRowFirstColumn="0" w:lastRowLastColumn="0"/>
            </w:pPr>
            <w:r>
              <w:t>No</w:t>
            </w:r>
          </w:p>
        </w:tc>
        <w:tc>
          <w:tcPr>
            <w:cnfStyle w:val="000010000000" w:firstRow="0" w:lastRow="0" w:firstColumn="0" w:lastColumn="0" w:oddVBand="1" w:evenVBand="0" w:oddHBand="0" w:evenHBand="0" w:firstRowFirstColumn="0" w:firstRowLastColumn="0" w:lastRowFirstColumn="0" w:lastRowLastColumn="0"/>
            <w:tcW w:w="2373" w:type="dxa"/>
          </w:tcPr>
          <w:p w14:paraId="1DDB7858" w14:textId="77777777" w:rsidR="00F27142" w:rsidRPr="00505659" w:rsidRDefault="00F27142" w:rsidP="000565B7">
            <w:r>
              <w:t>No answer</w:t>
            </w:r>
          </w:p>
        </w:tc>
      </w:tr>
      <w:tr w:rsidR="00F27142" w:rsidRPr="00505659" w14:paraId="61782394" w14:textId="77777777" w:rsidTr="000565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5" w:type="dxa"/>
          </w:tcPr>
          <w:p w14:paraId="4E487D41" w14:textId="77777777" w:rsidR="00F27142" w:rsidRPr="00505659" w:rsidRDefault="00F27142" w:rsidP="000565B7">
            <w:r>
              <w:t>Less than 7000</w:t>
            </w:r>
          </w:p>
        </w:tc>
        <w:tc>
          <w:tcPr>
            <w:cnfStyle w:val="000010000000" w:firstRow="0" w:lastRow="0" w:firstColumn="0" w:lastColumn="0" w:oddVBand="1" w:evenVBand="0" w:oddHBand="0" w:evenHBand="0" w:firstRowFirstColumn="0" w:firstRowLastColumn="0" w:lastRowFirstColumn="0" w:lastRowLastColumn="0"/>
            <w:tcW w:w="2450" w:type="dxa"/>
          </w:tcPr>
          <w:p w14:paraId="4DFA0E63" w14:textId="77777777" w:rsidR="00F27142" w:rsidRPr="00505659" w:rsidRDefault="00F27142" w:rsidP="000565B7">
            <w:r w:rsidRPr="00505659">
              <w:t>57.14%</w:t>
            </w:r>
          </w:p>
        </w:tc>
        <w:tc>
          <w:tcPr>
            <w:tcW w:w="2373" w:type="dxa"/>
          </w:tcPr>
          <w:p w14:paraId="0D06DBC3" w14:textId="77777777" w:rsidR="00F27142" w:rsidRPr="00505659" w:rsidRDefault="00F27142" w:rsidP="000565B7">
            <w:pPr>
              <w:cnfStyle w:val="000000100000" w:firstRow="0" w:lastRow="0" w:firstColumn="0" w:lastColumn="0" w:oddVBand="0" w:evenVBand="0" w:oddHBand="1" w:evenHBand="0" w:firstRowFirstColumn="0" w:firstRowLastColumn="0" w:lastRowFirstColumn="0" w:lastRowLastColumn="0"/>
            </w:pPr>
            <w:r w:rsidRPr="00505659">
              <w:t>14.29%</w:t>
            </w:r>
          </w:p>
        </w:tc>
        <w:tc>
          <w:tcPr>
            <w:cnfStyle w:val="000010000000" w:firstRow="0" w:lastRow="0" w:firstColumn="0" w:lastColumn="0" w:oddVBand="1" w:evenVBand="0" w:oddHBand="0" w:evenHBand="0" w:firstRowFirstColumn="0" w:firstRowLastColumn="0" w:lastRowFirstColumn="0" w:lastRowLastColumn="0"/>
            <w:tcW w:w="2373" w:type="dxa"/>
          </w:tcPr>
          <w:p w14:paraId="5B297B9D" w14:textId="77777777" w:rsidR="00F27142" w:rsidRPr="00505659" w:rsidRDefault="00F27142" w:rsidP="000565B7">
            <w:r w:rsidRPr="00505659">
              <w:t>28.57%</w:t>
            </w:r>
          </w:p>
        </w:tc>
      </w:tr>
      <w:tr w:rsidR="00F27142" w:rsidRPr="00505659" w14:paraId="5079FAC5" w14:textId="77777777" w:rsidTr="000565B7">
        <w:tc>
          <w:tcPr>
            <w:cnfStyle w:val="001000000000" w:firstRow="0" w:lastRow="0" w:firstColumn="1" w:lastColumn="0" w:oddVBand="0" w:evenVBand="0" w:oddHBand="0" w:evenHBand="0" w:firstRowFirstColumn="0" w:firstRowLastColumn="0" w:lastRowFirstColumn="0" w:lastRowLastColumn="0"/>
            <w:tcW w:w="2375" w:type="dxa"/>
          </w:tcPr>
          <w:p w14:paraId="58F9D408" w14:textId="77777777" w:rsidR="00F27142" w:rsidRPr="00505659" w:rsidRDefault="00F27142" w:rsidP="000565B7">
            <w:r>
              <w:t>7000 - 11000</w:t>
            </w:r>
          </w:p>
        </w:tc>
        <w:tc>
          <w:tcPr>
            <w:cnfStyle w:val="000010000000" w:firstRow="0" w:lastRow="0" w:firstColumn="0" w:lastColumn="0" w:oddVBand="1" w:evenVBand="0" w:oddHBand="0" w:evenHBand="0" w:firstRowFirstColumn="0" w:firstRowLastColumn="0" w:lastRowFirstColumn="0" w:lastRowLastColumn="0"/>
            <w:tcW w:w="2450" w:type="dxa"/>
          </w:tcPr>
          <w:p w14:paraId="03482CFF" w14:textId="77777777" w:rsidR="00F27142" w:rsidRPr="00505659" w:rsidRDefault="00F27142" w:rsidP="000565B7">
            <w:r w:rsidRPr="00505659">
              <w:t>85.71%</w:t>
            </w:r>
          </w:p>
        </w:tc>
        <w:tc>
          <w:tcPr>
            <w:tcW w:w="2373" w:type="dxa"/>
          </w:tcPr>
          <w:p w14:paraId="02F2F04F" w14:textId="77777777" w:rsidR="00F27142" w:rsidRPr="00505659" w:rsidRDefault="00F27142" w:rsidP="000565B7">
            <w:pPr>
              <w:cnfStyle w:val="000000000000" w:firstRow="0" w:lastRow="0" w:firstColumn="0" w:lastColumn="0" w:oddVBand="0" w:evenVBand="0" w:oddHBand="0" w:evenHBand="0" w:firstRowFirstColumn="0" w:firstRowLastColumn="0" w:lastRowFirstColumn="0" w:lastRowLastColumn="0"/>
            </w:pPr>
            <w:r w:rsidRPr="00505659">
              <w:t>14.29%</w:t>
            </w:r>
          </w:p>
        </w:tc>
        <w:tc>
          <w:tcPr>
            <w:cnfStyle w:val="000010000000" w:firstRow="0" w:lastRow="0" w:firstColumn="0" w:lastColumn="0" w:oddVBand="1" w:evenVBand="0" w:oddHBand="0" w:evenHBand="0" w:firstRowFirstColumn="0" w:firstRowLastColumn="0" w:lastRowFirstColumn="0" w:lastRowLastColumn="0"/>
            <w:tcW w:w="2373" w:type="dxa"/>
          </w:tcPr>
          <w:p w14:paraId="3CF9A69F" w14:textId="77777777" w:rsidR="00F27142" w:rsidRPr="00505659" w:rsidRDefault="00F27142" w:rsidP="000565B7">
            <w:r w:rsidRPr="00505659">
              <w:t>0.00%</w:t>
            </w:r>
          </w:p>
        </w:tc>
      </w:tr>
      <w:tr w:rsidR="00F27142" w:rsidRPr="00505659" w14:paraId="0D918E0B" w14:textId="77777777" w:rsidTr="000565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5" w:type="dxa"/>
          </w:tcPr>
          <w:p w14:paraId="72964808" w14:textId="77777777" w:rsidR="00F27142" w:rsidRPr="00505659" w:rsidRDefault="00F27142" w:rsidP="000565B7">
            <w:r>
              <w:t>11001 - 30000</w:t>
            </w:r>
          </w:p>
        </w:tc>
        <w:tc>
          <w:tcPr>
            <w:cnfStyle w:val="000010000000" w:firstRow="0" w:lastRow="0" w:firstColumn="0" w:lastColumn="0" w:oddVBand="1" w:evenVBand="0" w:oddHBand="0" w:evenHBand="0" w:firstRowFirstColumn="0" w:firstRowLastColumn="0" w:lastRowFirstColumn="0" w:lastRowLastColumn="0"/>
            <w:tcW w:w="2450" w:type="dxa"/>
          </w:tcPr>
          <w:p w14:paraId="0A564D66" w14:textId="77777777" w:rsidR="00F27142" w:rsidRPr="00505659" w:rsidRDefault="00F27142" w:rsidP="000565B7">
            <w:r w:rsidRPr="00505659">
              <w:t>100.00%</w:t>
            </w:r>
          </w:p>
        </w:tc>
        <w:tc>
          <w:tcPr>
            <w:tcW w:w="2373" w:type="dxa"/>
          </w:tcPr>
          <w:p w14:paraId="2BE40A83" w14:textId="77777777" w:rsidR="00F27142" w:rsidRPr="00505659" w:rsidRDefault="00F27142" w:rsidP="000565B7">
            <w:pPr>
              <w:cnfStyle w:val="000000100000" w:firstRow="0" w:lastRow="0" w:firstColumn="0" w:lastColumn="0" w:oddVBand="0" w:evenVBand="0" w:oddHBand="1" w:evenHBand="0" w:firstRowFirstColumn="0" w:firstRowLastColumn="0" w:lastRowFirstColumn="0" w:lastRowLastColumn="0"/>
            </w:pPr>
            <w:r w:rsidRPr="00505659">
              <w:t>0.00%</w:t>
            </w:r>
          </w:p>
        </w:tc>
        <w:tc>
          <w:tcPr>
            <w:cnfStyle w:val="000010000000" w:firstRow="0" w:lastRow="0" w:firstColumn="0" w:lastColumn="0" w:oddVBand="1" w:evenVBand="0" w:oddHBand="0" w:evenHBand="0" w:firstRowFirstColumn="0" w:firstRowLastColumn="0" w:lastRowFirstColumn="0" w:lastRowLastColumn="0"/>
            <w:tcW w:w="2373" w:type="dxa"/>
          </w:tcPr>
          <w:p w14:paraId="66740FDD" w14:textId="77777777" w:rsidR="00F27142" w:rsidRPr="00505659" w:rsidRDefault="00F27142" w:rsidP="000565B7">
            <w:r w:rsidRPr="00505659">
              <w:t>0.00%</w:t>
            </w:r>
          </w:p>
        </w:tc>
      </w:tr>
      <w:tr w:rsidR="00F27142" w:rsidRPr="00505659" w14:paraId="718D6C08" w14:textId="77777777" w:rsidTr="000565B7">
        <w:tc>
          <w:tcPr>
            <w:cnfStyle w:val="001000000000" w:firstRow="0" w:lastRow="0" w:firstColumn="1" w:lastColumn="0" w:oddVBand="0" w:evenVBand="0" w:oddHBand="0" w:evenHBand="0" w:firstRowFirstColumn="0" w:firstRowLastColumn="0" w:lastRowFirstColumn="0" w:lastRowLastColumn="0"/>
            <w:tcW w:w="2375" w:type="dxa"/>
          </w:tcPr>
          <w:p w14:paraId="24030008" w14:textId="77777777" w:rsidR="00F27142" w:rsidRPr="00505659" w:rsidRDefault="00F27142" w:rsidP="000565B7">
            <w:r>
              <w:t>More than 30000</w:t>
            </w:r>
          </w:p>
        </w:tc>
        <w:tc>
          <w:tcPr>
            <w:cnfStyle w:val="000010000000" w:firstRow="0" w:lastRow="0" w:firstColumn="0" w:lastColumn="0" w:oddVBand="1" w:evenVBand="0" w:oddHBand="0" w:evenHBand="0" w:firstRowFirstColumn="0" w:firstRowLastColumn="0" w:lastRowFirstColumn="0" w:lastRowLastColumn="0"/>
            <w:tcW w:w="2450" w:type="dxa"/>
          </w:tcPr>
          <w:p w14:paraId="22250A0D" w14:textId="77777777" w:rsidR="00F27142" w:rsidRPr="00505659" w:rsidRDefault="00F27142" w:rsidP="000565B7">
            <w:r w:rsidRPr="00505659">
              <w:t>71.43%</w:t>
            </w:r>
          </w:p>
        </w:tc>
        <w:tc>
          <w:tcPr>
            <w:tcW w:w="2373" w:type="dxa"/>
          </w:tcPr>
          <w:p w14:paraId="01FF51B8" w14:textId="77777777" w:rsidR="00F27142" w:rsidRPr="00505659" w:rsidRDefault="00F27142" w:rsidP="000565B7">
            <w:pPr>
              <w:cnfStyle w:val="000000000000" w:firstRow="0" w:lastRow="0" w:firstColumn="0" w:lastColumn="0" w:oddVBand="0" w:evenVBand="0" w:oddHBand="0" w:evenHBand="0" w:firstRowFirstColumn="0" w:firstRowLastColumn="0" w:lastRowFirstColumn="0" w:lastRowLastColumn="0"/>
            </w:pPr>
            <w:r w:rsidRPr="00505659">
              <w:t>14.29%</w:t>
            </w:r>
          </w:p>
        </w:tc>
        <w:tc>
          <w:tcPr>
            <w:cnfStyle w:val="000010000000" w:firstRow="0" w:lastRow="0" w:firstColumn="0" w:lastColumn="0" w:oddVBand="1" w:evenVBand="0" w:oddHBand="0" w:evenHBand="0" w:firstRowFirstColumn="0" w:firstRowLastColumn="0" w:lastRowFirstColumn="0" w:lastRowLastColumn="0"/>
            <w:tcW w:w="2373" w:type="dxa"/>
          </w:tcPr>
          <w:p w14:paraId="3AEEADC7" w14:textId="77777777" w:rsidR="00F27142" w:rsidRPr="00505659" w:rsidRDefault="00F27142" w:rsidP="000565B7">
            <w:r w:rsidRPr="00505659">
              <w:t>14.29%</w:t>
            </w:r>
          </w:p>
        </w:tc>
      </w:tr>
    </w:tbl>
    <w:p w14:paraId="59765D59" w14:textId="77777777" w:rsidR="00F27142" w:rsidRDefault="00F27142" w:rsidP="00F27142"/>
    <w:p w14:paraId="1EAE5B64" w14:textId="10D6EC2F" w:rsidR="003E5148" w:rsidRPr="004A2FE7" w:rsidRDefault="003E5148" w:rsidP="004A2FE7">
      <w:pPr>
        <w:rPr>
          <w:lang w:val="en-US"/>
        </w:rPr>
      </w:pPr>
    </w:p>
    <w:sectPr w:rsidR="003E5148" w:rsidRPr="004A2F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A6C5A"/>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0030629"/>
    <w:multiLevelType w:val="hybridMultilevel"/>
    <w:tmpl w:val="2AAA2C0A"/>
    <w:lvl w:ilvl="0" w:tplc="ADFC1C1E">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15:restartNumberingAfterBreak="0">
    <w:nsid w:val="10E27247"/>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258779D"/>
    <w:multiLevelType w:val="hybridMultilevel"/>
    <w:tmpl w:val="EE2A4D66"/>
    <w:lvl w:ilvl="0" w:tplc="300A6BEE">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 w15:restartNumberingAfterBreak="0">
    <w:nsid w:val="17D20ECA"/>
    <w:multiLevelType w:val="hybridMultilevel"/>
    <w:tmpl w:val="764A5BB0"/>
    <w:lvl w:ilvl="0" w:tplc="BFBC3B5A">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5" w15:restartNumberingAfterBreak="0">
    <w:nsid w:val="196D1C83"/>
    <w:multiLevelType w:val="hybridMultilevel"/>
    <w:tmpl w:val="E52ED990"/>
    <w:lvl w:ilvl="0" w:tplc="0A361794">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 w15:restartNumberingAfterBreak="0">
    <w:nsid w:val="1FF06A9F"/>
    <w:multiLevelType w:val="hybridMultilevel"/>
    <w:tmpl w:val="751E8640"/>
    <w:lvl w:ilvl="0" w:tplc="F3BAD568">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7" w15:restartNumberingAfterBreak="0">
    <w:nsid w:val="23873530"/>
    <w:multiLevelType w:val="hybridMultilevel"/>
    <w:tmpl w:val="80D4AD1E"/>
    <w:lvl w:ilvl="0" w:tplc="00FC066A">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8" w15:restartNumberingAfterBreak="0">
    <w:nsid w:val="40D86B94"/>
    <w:multiLevelType w:val="hybridMultilevel"/>
    <w:tmpl w:val="07C435C6"/>
    <w:lvl w:ilvl="0" w:tplc="C99E39D4">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9" w15:restartNumberingAfterBreak="0">
    <w:nsid w:val="4A305105"/>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AC76DC9"/>
    <w:multiLevelType w:val="hybridMultilevel"/>
    <w:tmpl w:val="92AEB556"/>
    <w:lvl w:ilvl="0" w:tplc="B956CE22">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1" w15:restartNumberingAfterBreak="0">
    <w:nsid w:val="510C01BF"/>
    <w:multiLevelType w:val="hybridMultilevel"/>
    <w:tmpl w:val="9DBCB850"/>
    <w:lvl w:ilvl="0" w:tplc="D7FA154E">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2" w15:restartNumberingAfterBreak="0">
    <w:nsid w:val="52FA0BD6"/>
    <w:multiLevelType w:val="hybridMultilevel"/>
    <w:tmpl w:val="F99EDBDA"/>
    <w:lvl w:ilvl="0" w:tplc="C0E6BDA6">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3" w15:restartNumberingAfterBreak="0">
    <w:nsid w:val="55BB2F18"/>
    <w:multiLevelType w:val="hybridMultilevel"/>
    <w:tmpl w:val="BFBAFAE2"/>
    <w:lvl w:ilvl="0" w:tplc="8B02707C">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4" w15:restartNumberingAfterBreak="0">
    <w:nsid w:val="6A383FFC"/>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91B64EC"/>
    <w:multiLevelType w:val="hybridMultilevel"/>
    <w:tmpl w:val="F830E9B2"/>
    <w:lvl w:ilvl="0" w:tplc="A7A6044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7A5A0F22"/>
    <w:multiLevelType w:val="hybridMultilevel"/>
    <w:tmpl w:val="71483CBE"/>
    <w:lvl w:ilvl="0" w:tplc="651C5788">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15"/>
  </w:num>
  <w:num w:numId="2">
    <w:abstractNumId w:val="7"/>
  </w:num>
  <w:num w:numId="3">
    <w:abstractNumId w:val="16"/>
  </w:num>
  <w:num w:numId="4">
    <w:abstractNumId w:val="5"/>
  </w:num>
  <w:num w:numId="5">
    <w:abstractNumId w:val="13"/>
  </w:num>
  <w:num w:numId="6">
    <w:abstractNumId w:val="12"/>
  </w:num>
  <w:num w:numId="7">
    <w:abstractNumId w:val="3"/>
  </w:num>
  <w:num w:numId="8">
    <w:abstractNumId w:val="1"/>
  </w:num>
  <w:num w:numId="9">
    <w:abstractNumId w:val="4"/>
  </w:num>
  <w:num w:numId="10">
    <w:abstractNumId w:val="11"/>
  </w:num>
  <w:num w:numId="11">
    <w:abstractNumId w:val="8"/>
  </w:num>
  <w:num w:numId="12">
    <w:abstractNumId w:val="6"/>
  </w:num>
  <w:num w:numId="13">
    <w:abstractNumId w:val="10"/>
  </w:num>
  <w:num w:numId="14">
    <w:abstractNumId w:val="9"/>
  </w:num>
  <w:num w:numId="15">
    <w:abstractNumId w:val="0"/>
  </w:num>
  <w:num w:numId="16">
    <w:abstractNumId w:val="14"/>
  </w:num>
  <w:num w:numId="17">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501"/>
    <w:rsid w:val="003E5148"/>
    <w:rsid w:val="004A2FE7"/>
    <w:rsid w:val="006A5822"/>
    <w:rsid w:val="006D6501"/>
    <w:rsid w:val="00B75187"/>
    <w:rsid w:val="00EB26E8"/>
    <w:rsid w:val="00F27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D15EB"/>
  <w15:chartTrackingRefBased/>
  <w15:docId w15:val="{E5520BD5-4DC0-48A7-B6DD-D4556C91C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0"/>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501"/>
    <w:pPr>
      <w:spacing w:after="0" w:line="240" w:lineRule="auto"/>
    </w:pPr>
    <w:rPr>
      <w:rFonts w:ascii="Cambria" w:eastAsia="Cambria" w:hAnsi="Cambria" w:cs="Times New Roman"/>
      <w:sz w:val="24"/>
      <w:szCs w:val="24"/>
      <w:lang w:val="en-AU"/>
    </w:rPr>
  </w:style>
  <w:style w:type="paragraph" w:styleId="Heading1">
    <w:name w:val="heading 1"/>
    <w:basedOn w:val="Normal"/>
    <w:next w:val="Normal"/>
    <w:link w:val="Heading1Char"/>
    <w:qFormat/>
    <w:rsid w:val="006D6501"/>
    <w:pPr>
      <w:keepNext/>
      <w:keepLines/>
      <w:spacing w:before="480"/>
      <w:outlineLvl w:val="0"/>
    </w:pPr>
    <w:rPr>
      <w:rFonts w:ascii="Calibri" w:eastAsia="Times New Roman" w:hAnsi="Calibri"/>
      <w:b/>
      <w:bCs/>
      <w:color w:val="345A8A"/>
      <w:sz w:val="32"/>
      <w:szCs w:val="32"/>
    </w:rPr>
  </w:style>
  <w:style w:type="paragraph" w:styleId="Heading2">
    <w:name w:val="heading 2"/>
    <w:basedOn w:val="Normal"/>
    <w:next w:val="Normal"/>
    <w:link w:val="Heading2Char"/>
    <w:qFormat/>
    <w:rsid w:val="006D6501"/>
    <w:pPr>
      <w:keepNext/>
      <w:keepLines/>
      <w:spacing w:before="200"/>
      <w:outlineLvl w:val="1"/>
    </w:pPr>
    <w:rPr>
      <w:rFonts w:ascii="Calibri" w:eastAsia="Times New Roman" w:hAnsi="Calibri"/>
      <w:b/>
      <w:bCs/>
      <w:color w:val="4F81BD"/>
      <w:sz w:val="26"/>
      <w:szCs w:val="26"/>
    </w:rPr>
  </w:style>
  <w:style w:type="paragraph" w:styleId="Heading3">
    <w:name w:val="heading 3"/>
    <w:basedOn w:val="Normal"/>
    <w:next w:val="Normal"/>
    <w:link w:val="Heading3Char"/>
    <w:qFormat/>
    <w:rsid w:val="006D6501"/>
    <w:pPr>
      <w:keepNext/>
      <w:keepLines/>
      <w:spacing w:before="200"/>
      <w:outlineLvl w:val="2"/>
    </w:pPr>
    <w:rPr>
      <w:rFonts w:ascii="Calibri" w:eastAsia="Times New Roman"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6501"/>
    <w:rPr>
      <w:rFonts w:ascii="Calibri" w:eastAsia="Times New Roman" w:hAnsi="Calibri" w:cs="Times New Roman"/>
      <w:b/>
      <w:bCs/>
      <w:color w:val="345A8A"/>
      <w:sz w:val="32"/>
      <w:szCs w:val="32"/>
      <w:lang w:val="en-AU"/>
    </w:rPr>
  </w:style>
  <w:style w:type="character" w:customStyle="1" w:styleId="Heading2Char">
    <w:name w:val="Heading 2 Char"/>
    <w:basedOn w:val="DefaultParagraphFont"/>
    <w:link w:val="Heading2"/>
    <w:rsid w:val="006D6501"/>
    <w:rPr>
      <w:rFonts w:ascii="Calibri" w:eastAsia="Times New Roman" w:hAnsi="Calibri" w:cs="Times New Roman"/>
      <w:b/>
      <w:bCs/>
      <w:color w:val="4F81BD"/>
      <w:sz w:val="26"/>
      <w:szCs w:val="26"/>
      <w:lang w:val="en-AU"/>
    </w:rPr>
  </w:style>
  <w:style w:type="character" w:customStyle="1" w:styleId="Heading3Char">
    <w:name w:val="Heading 3 Char"/>
    <w:basedOn w:val="DefaultParagraphFont"/>
    <w:link w:val="Heading3"/>
    <w:rsid w:val="006D6501"/>
    <w:rPr>
      <w:rFonts w:ascii="Calibri" w:eastAsia="Times New Roman" w:hAnsi="Calibri" w:cs="Times New Roman"/>
      <w:b/>
      <w:bCs/>
      <w:color w:val="4F81BD"/>
      <w:sz w:val="24"/>
      <w:szCs w:val="24"/>
      <w:lang w:val="en-AU"/>
    </w:rPr>
  </w:style>
  <w:style w:type="paragraph" w:styleId="Header">
    <w:name w:val="header"/>
    <w:basedOn w:val="Normal"/>
    <w:link w:val="HeaderChar"/>
    <w:uiPriority w:val="99"/>
    <w:rsid w:val="006D6501"/>
    <w:pPr>
      <w:tabs>
        <w:tab w:val="center" w:pos="4320"/>
        <w:tab w:val="right" w:pos="8640"/>
      </w:tabs>
    </w:pPr>
  </w:style>
  <w:style w:type="character" w:customStyle="1" w:styleId="HeaderChar">
    <w:name w:val="Header Char"/>
    <w:basedOn w:val="DefaultParagraphFont"/>
    <w:link w:val="Header"/>
    <w:uiPriority w:val="99"/>
    <w:rsid w:val="006D6501"/>
    <w:rPr>
      <w:rFonts w:ascii="Cambria" w:eastAsia="Cambria" w:hAnsi="Cambria" w:cs="Times New Roman"/>
      <w:sz w:val="24"/>
      <w:szCs w:val="24"/>
      <w:lang w:val="en-AU"/>
    </w:rPr>
  </w:style>
  <w:style w:type="paragraph" w:styleId="Footer">
    <w:name w:val="footer"/>
    <w:basedOn w:val="Normal"/>
    <w:link w:val="FooterChar"/>
    <w:uiPriority w:val="99"/>
    <w:rsid w:val="006D6501"/>
    <w:pPr>
      <w:tabs>
        <w:tab w:val="center" w:pos="4320"/>
        <w:tab w:val="right" w:pos="8640"/>
      </w:tabs>
    </w:pPr>
  </w:style>
  <w:style w:type="character" w:customStyle="1" w:styleId="FooterChar">
    <w:name w:val="Footer Char"/>
    <w:basedOn w:val="DefaultParagraphFont"/>
    <w:link w:val="Footer"/>
    <w:uiPriority w:val="99"/>
    <w:rsid w:val="006D6501"/>
    <w:rPr>
      <w:rFonts w:ascii="Cambria" w:eastAsia="Cambria" w:hAnsi="Cambria" w:cs="Times New Roman"/>
      <w:sz w:val="24"/>
      <w:szCs w:val="24"/>
      <w:lang w:val="en-AU"/>
    </w:rPr>
  </w:style>
  <w:style w:type="character" w:styleId="PageNumber">
    <w:name w:val="page number"/>
    <w:basedOn w:val="DefaultParagraphFont"/>
    <w:rsid w:val="006D6501"/>
  </w:style>
  <w:style w:type="paragraph" w:styleId="ListParagraph">
    <w:name w:val="List Paragraph"/>
    <w:basedOn w:val="Normal"/>
    <w:qFormat/>
    <w:rsid w:val="006D6501"/>
    <w:pPr>
      <w:spacing w:after="200" w:line="276" w:lineRule="auto"/>
      <w:ind w:left="720"/>
      <w:contextualSpacing/>
    </w:pPr>
    <w:rPr>
      <w:rFonts w:ascii="Calibri" w:eastAsia="Calibri" w:hAnsi="Calibri"/>
      <w:sz w:val="22"/>
      <w:szCs w:val="22"/>
      <w:lang w:val="ru-RU"/>
    </w:rPr>
  </w:style>
  <w:style w:type="table" w:styleId="MediumGrid3-Accent3">
    <w:name w:val="Medium Grid 3 Accent 3"/>
    <w:basedOn w:val="TableNormal"/>
    <w:rsid w:val="006D6501"/>
    <w:pPr>
      <w:spacing w:after="0" w:line="240" w:lineRule="auto"/>
    </w:pPr>
    <w:rPr>
      <w:rFonts w:ascii="Cambria" w:eastAsia="Cambria" w:hAnsi="Cambria" w:cs="Times New Roman"/>
      <w:sz w:val="20"/>
      <w:szCs w:val="20"/>
      <w:lang w:val="ru-RU"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TableGrid">
    <w:name w:val="Table Grid"/>
    <w:basedOn w:val="TableNormal"/>
    <w:uiPriority w:val="59"/>
    <w:rsid w:val="006D6501"/>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D6501"/>
    <w:pPr>
      <w:spacing w:before="240" w:line="259" w:lineRule="auto"/>
      <w:outlineLvl w:val="9"/>
    </w:pPr>
    <w:rPr>
      <w:rFonts w:asciiTheme="majorHAnsi" w:eastAsiaTheme="majorEastAsia" w:hAnsiTheme="majorHAnsi" w:cstheme="majorBidi"/>
      <w:b w:val="0"/>
      <w:bCs w:val="0"/>
      <w:color w:val="2F5496" w:themeColor="accent1" w:themeShade="BF"/>
      <w:lang w:val="en-US"/>
    </w:rPr>
  </w:style>
  <w:style w:type="paragraph" w:styleId="TOC1">
    <w:name w:val="toc 1"/>
    <w:basedOn w:val="Normal"/>
    <w:next w:val="Normal"/>
    <w:autoRedefine/>
    <w:uiPriority w:val="39"/>
    <w:unhideWhenUsed/>
    <w:rsid w:val="006D6501"/>
    <w:pPr>
      <w:spacing w:after="100"/>
    </w:pPr>
  </w:style>
  <w:style w:type="paragraph" w:styleId="TOC2">
    <w:name w:val="toc 2"/>
    <w:basedOn w:val="Normal"/>
    <w:next w:val="Normal"/>
    <w:autoRedefine/>
    <w:uiPriority w:val="39"/>
    <w:unhideWhenUsed/>
    <w:rsid w:val="006D6501"/>
    <w:pPr>
      <w:spacing w:after="100"/>
      <w:ind w:left="240"/>
    </w:pPr>
  </w:style>
  <w:style w:type="paragraph" w:styleId="TOC3">
    <w:name w:val="toc 3"/>
    <w:basedOn w:val="Normal"/>
    <w:next w:val="Normal"/>
    <w:autoRedefine/>
    <w:uiPriority w:val="39"/>
    <w:unhideWhenUsed/>
    <w:rsid w:val="006D6501"/>
    <w:pPr>
      <w:spacing w:after="100" w:line="259" w:lineRule="auto"/>
      <w:ind w:left="440"/>
    </w:pPr>
    <w:rPr>
      <w:rFonts w:asciiTheme="minorHAnsi" w:eastAsiaTheme="minorEastAsia" w:hAnsiTheme="minorHAnsi" w:cstheme="minorBidi"/>
      <w:sz w:val="22"/>
      <w:szCs w:val="22"/>
      <w:lang w:val="en-US"/>
    </w:rPr>
  </w:style>
  <w:style w:type="paragraph" w:styleId="TOC4">
    <w:name w:val="toc 4"/>
    <w:basedOn w:val="Normal"/>
    <w:next w:val="Normal"/>
    <w:autoRedefine/>
    <w:uiPriority w:val="39"/>
    <w:unhideWhenUsed/>
    <w:rsid w:val="006D6501"/>
    <w:pPr>
      <w:spacing w:after="100" w:line="259" w:lineRule="auto"/>
      <w:ind w:left="660"/>
    </w:pPr>
    <w:rPr>
      <w:rFonts w:asciiTheme="minorHAnsi" w:eastAsiaTheme="minorEastAsia" w:hAnsiTheme="minorHAnsi" w:cstheme="minorBidi"/>
      <w:sz w:val="22"/>
      <w:szCs w:val="22"/>
      <w:lang w:val="en-US"/>
    </w:rPr>
  </w:style>
  <w:style w:type="paragraph" w:styleId="TOC5">
    <w:name w:val="toc 5"/>
    <w:basedOn w:val="Normal"/>
    <w:next w:val="Normal"/>
    <w:autoRedefine/>
    <w:uiPriority w:val="39"/>
    <w:unhideWhenUsed/>
    <w:rsid w:val="006D6501"/>
    <w:pPr>
      <w:spacing w:after="100" w:line="259" w:lineRule="auto"/>
      <w:ind w:left="880"/>
    </w:pPr>
    <w:rPr>
      <w:rFonts w:asciiTheme="minorHAnsi" w:eastAsiaTheme="minorEastAsia" w:hAnsiTheme="minorHAnsi" w:cstheme="minorBidi"/>
      <w:sz w:val="22"/>
      <w:szCs w:val="22"/>
      <w:lang w:val="en-US"/>
    </w:rPr>
  </w:style>
  <w:style w:type="paragraph" w:styleId="TOC6">
    <w:name w:val="toc 6"/>
    <w:basedOn w:val="Normal"/>
    <w:next w:val="Normal"/>
    <w:autoRedefine/>
    <w:uiPriority w:val="39"/>
    <w:unhideWhenUsed/>
    <w:rsid w:val="006D6501"/>
    <w:pPr>
      <w:spacing w:after="100" w:line="259" w:lineRule="auto"/>
      <w:ind w:left="1100"/>
    </w:pPr>
    <w:rPr>
      <w:rFonts w:asciiTheme="minorHAnsi" w:eastAsiaTheme="minorEastAsia" w:hAnsiTheme="minorHAnsi" w:cstheme="minorBidi"/>
      <w:sz w:val="22"/>
      <w:szCs w:val="22"/>
      <w:lang w:val="en-US"/>
    </w:rPr>
  </w:style>
  <w:style w:type="paragraph" w:styleId="TOC7">
    <w:name w:val="toc 7"/>
    <w:basedOn w:val="Normal"/>
    <w:next w:val="Normal"/>
    <w:autoRedefine/>
    <w:uiPriority w:val="39"/>
    <w:unhideWhenUsed/>
    <w:rsid w:val="006D6501"/>
    <w:pPr>
      <w:spacing w:after="100" w:line="259" w:lineRule="auto"/>
      <w:ind w:left="1320"/>
    </w:pPr>
    <w:rPr>
      <w:rFonts w:asciiTheme="minorHAnsi" w:eastAsiaTheme="minorEastAsia" w:hAnsiTheme="minorHAnsi" w:cstheme="minorBidi"/>
      <w:sz w:val="22"/>
      <w:szCs w:val="22"/>
      <w:lang w:val="en-US"/>
    </w:rPr>
  </w:style>
  <w:style w:type="paragraph" w:styleId="TOC8">
    <w:name w:val="toc 8"/>
    <w:basedOn w:val="Normal"/>
    <w:next w:val="Normal"/>
    <w:autoRedefine/>
    <w:uiPriority w:val="39"/>
    <w:unhideWhenUsed/>
    <w:rsid w:val="006D6501"/>
    <w:pPr>
      <w:spacing w:after="100" w:line="259" w:lineRule="auto"/>
      <w:ind w:left="1540"/>
    </w:pPr>
    <w:rPr>
      <w:rFonts w:asciiTheme="minorHAnsi" w:eastAsiaTheme="minorEastAsia" w:hAnsiTheme="minorHAnsi" w:cstheme="minorBidi"/>
      <w:sz w:val="22"/>
      <w:szCs w:val="22"/>
      <w:lang w:val="en-US"/>
    </w:rPr>
  </w:style>
  <w:style w:type="paragraph" w:styleId="TOC9">
    <w:name w:val="toc 9"/>
    <w:basedOn w:val="Normal"/>
    <w:next w:val="Normal"/>
    <w:autoRedefine/>
    <w:uiPriority w:val="39"/>
    <w:unhideWhenUsed/>
    <w:rsid w:val="006D6501"/>
    <w:pPr>
      <w:spacing w:after="100" w:line="259" w:lineRule="auto"/>
      <w:ind w:left="1760"/>
    </w:pPr>
    <w:rPr>
      <w:rFonts w:asciiTheme="minorHAnsi" w:eastAsiaTheme="minorEastAsia" w:hAnsiTheme="minorHAnsi" w:cstheme="minorBidi"/>
      <w:sz w:val="22"/>
      <w:szCs w:val="22"/>
      <w:lang w:val="en-US"/>
    </w:rPr>
  </w:style>
  <w:style w:type="character" w:styleId="Hyperlink">
    <w:name w:val="Hyperlink"/>
    <w:basedOn w:val="DefaultParagraphFont"/>
    <w:uiPriority w:val="99"/>
    <w:unhideWhenUsed/>
    <w:rsid w:val="006D6501"/>
    <w:rPr>
      <w:color w:val="0563C1" w:themeColor="hyperlink"/>
      <w:u w:val="single"/>
    </w:rPr>
  </w:style>
  <w:style w:type="character" w:styleId="UnresolvedMention">
    <w:name w:val="Unresolved Mention"/>
    <w:basedOn w:val="DefaultParagraphFont"/>
    <w:uiPriority w:val="99"/>
    <w:semiHidden/>
    <w:unhideWhenUsed/>
    <w:rsid w:val="006D6501"/>
    <w:rPr>
      <w:color w:val="605E5C"/>
      <w:shd w:val="clear" w:color="auto" w:fill="E1DFDD"/>
    </w:rPr>
  </w:style>
  <w:style w:type="paragraph" w:styleId="BalloonText">
    <w:name w:val="Balloon Text"/>
    <w:basedOn w:val="Normal"/>
    <w:link w:val="BalloonTextChar"/>
    <w:rsid w:val="006D6501"/>
    <w:rPr>
      <w:rFonts w:ascii="Segoe UI" w:hAnsi="Segoe UI" w:cs="Segoe UI"/>
      <w:sz w:val="18"/>
      <w:szCs w:val="18"/>
    </w:rPr>
  </w:style>
  <w:style w:type="character" w:customStyle="1" w:styleId="BalloonTextChar">
    <w:name w:val="Balloon Text Char"/>
    <w:basedOn w:val="DefaultParagraphFont"/>
    <w:link w:val="BalloonText"/>
    <w:rsid w:val="006D6501"/>
    <w:rPr>
      <w:rFonts w:ascii="Segoe UI" w:eastAsia="Cambria"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671</Words>
  <Characters>3827</Characters>
  <Application>Microsoft Office Word</Application>
  <DocSecurity>0</DocSecurity>
  <Lines>31</Lines>
  <Paragraphs>8</Paragraphs>
  <ScaleCrop>false</ScaleCrop>
  <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Moses</dc:creator>
  <cp:keywords/>
  <dc:description/>
  <cp:lastModifiedBy>James Moses</cp:lastModifiedBy>
  <cp:revision>2</cp:revision>
  <dcterms:created xsi:type="dcterms:W3CDTF">2020-09-16T14:46:00Z</dcterms:created>
  <dcterms:modified xsi:type="dcterms:W3CDTF">2020-09-16T14:46:00Z</dcterms:modified>
</cp:coreProperties>
</file>