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269" w:rsidRDefault="009B5269" w:rsidP="009B5269">
      <w:pPr>
        <w:pStyle w:val="Heading1"/>
        <w:rPr>
          <w:rFonts w:cs="Calibri"/>
          <w:lang w:val="en-US"/>
        </w:rPr>
      </w:pPr>
      <w:bookmarkStart w:id="0" w:name="_Toc504481446"/>
      <w:r>
        <w:rPr>
          <w:lang w:val="en-US"/>
        </w:rPr>
        <w:t>I</w:t>
      </w:r>
      <w:r>
        <w:rPr>
          <w:rFonts w:cs="Calibri"/>
          <w:lang w:val="en-US"/>
        </w:rPr>
        <w:t xml:space="preserve">f new students at your college can opt out of taking diagnostic tests in mathematics, writing or other skill areas, what qualifications enable them to do so? (i.e. ACT or SAT or GRE scores above a certain level, certain level of high school grades, AP test scores -- be as specific as possible) Broken out by </w:t>
      </w:r>
      <w:r>
        <w:t>type of institution</w:t>
      </w:r>
      <w:bookmarkEnd w:id="0"/>
    </w:p>
    <w:p w:rsidR="009B5269" w:rsidRDefault="009B5269" w:rsidP="009B5269">
      <w:pPr>
        <w:rPr>
          <w:rFonts w:ascii="Calibri" w:hAnsi="Calibri" w:cs="Calibri"/>
        </w:rPr>
      </w:pPr>
    </w:p>
    <w:p w:rsidR="009B5269" w:rsidRDefault="009B5269" w:rsidP="009B5269">
      <w:pPr>
        <w:rPr>
          <w:rFonts w:ascii="Calibri" w:hAnsi="Calibri" w:cs="Calibri"/>
          <w:lang w:val="ru-RU"/>
        </w:rPr>
      </w:pPr>
      <w:r>
        <w:rPr>
          <w:rFonts w:ascii="Calibri" w:hAnsi="Calibri" w:cs="Calibri"/>
        </w:rPr>
        <w:t>Community College</w:t>
      </w:r>
    </w:p>
    <w:p w:rsidR="009B5269" w:rsidRDefault="009B5269" w:rsidP="009B5269">
      <w:pPr>
        <w:pStyle w:val="ListParagraph"/>
        <w:numPr>
          <w:ilvl w:val="0"/>
          <w:numId w:val="1"/>
        </w:numPr>
        <w:ind w:left="720"/>
        <w:rPr>
          <w:rFonts w:cs="Calibri"/>
          <w:sz w:val="24"/>
        </w:rPr>
      </w:pPr>
      <w:r>
        <w:rPr>
          <w:rFonts w:cs="Calibri"/>
          <w:sz w:val="24"/>
        </w:rPr>
        <w:t>ACT/SAT scores</w:t>
      </w:r>
    </w:p>
    <w:p w:rsidR="009B5269" w:rsidRDefault="009B5269" w:rsidP="009B5269">
      <w:pPr>
        <w:pStyle w:val="ListParagraph"/>
        <w:numPr>
          <w:ilvl w:val="0"/>
          <w:numId w:val="1"/>
        </w:numPr>
        <w:ind w:left="720"/>
        <w:rPr>
          <w:rFonts w:cs="Calibri"/>
          <w:sz w:val="24"/>
        </w:rPr>
      </w:pPr>
      <w:r>
        <w:rPr>
          <w:rFonts w:cs="Calibri"/>
          <w:sz w:val="24"/>
        </w:rPr>
        <w:t>All of the above</w:t>
      </w:r>
    </w:p>
    <w:p w:rsidR="009B5269" w:rsidRDefault="009B5269" w:rsidP="009B5269">
      <w:pPr>
        <w:pStyle w:val="ListParagraph"/>
        <w:numPr>
          <w:ilvl w:val="0"/>
          <w:numId w:val="1"/>
        </w:numPr>
        <w:ind w:left="720"/>
        <w:rPr>
          <w:rFonts w:cs="Calibri"/>
          <w:sz w:val="24"/>
          <w:lang w:val="en-US"/>
        </w:rPr>
      </w:pPr>
      <w:r>
        <w:rPr>
          <w:rFonts w:cs="Calibri"/>
          <w:sz w:val="24"/>
          <w:lang w:val="en-US"/>
        </w:rPr>
        <w:t>1. ACT, SAT scores.   2. Graduation/Military Standing: Per Florida law, students who have graduated from a Florida high school from 2007 and students who are in the military are not required to take our incoming diagnostics.</w:t>
      </w:r>
    </w:p>
    <w:p w:rsidR="009B5269" w:rsidRDefault="009B5269" w:rsidP="009B5269">
      <w:pPr>
        <w:pStyle w:val="ListParagraph"/>
        <w:numPr>
          <w:ilvl w:val="0"/>
          <w:numId w:val="1"/>
        </w:numPr>
        <w:ind w:left="720"/>
        <w:rPr>
          <w:rFonts w:cs="Calibri"/>
          <w:sz w:val="24"/>
          <w:lang w:val="en-US"/>
        </w:rPr>
      </w:pPr>
      <w:r>
        <w:rPr>
          <w:rFonts w:cs="Calibri"/>
          <w:sz w:val="24"/>
          <w:lang w:val="en-US"/>
        </w:rPr>
        <w:t>PERT plus Florida High School Diploma</w:t>
      </w:r>
    </w:p>
    <w:p w:rsidR="009B5269" w:rsidRDefault="009B5269" w:rsidP="009B5269">
      <w:pPr>
        <w:pStyle w:val="ListParagraph"/>
        <w:numPr>
          <w:ilvl w:val="0"/>
          <w:numId w:val="1"/>
        </w:numPr>
        <w:ind w:left="720"/>
        <w:rPr>
          <w:rFonts w:cs="Calibri"/>
          <w:sz w:val="24"/>
          <w:lang w:val="en-US"/>
        </w:rPr>
      </w:pPr>
      <w:r>
        <w:rPr>
          <w:rFonts w:cs="Calibri"/>
          <w:sz w:val="24"/>
          <w:lang w:val="en-US"/>
        </w:rPr>
        <w:t>N/A</w:t>
      </w:r>
    </w:p>
    <w:p w:rsidR="009B5269" w:rsidRDefault="009B5269" w:rsidP="009B5269">
      <w:pPr>
        <w:rPr>
          <w:rFonts w:ascii="Calibri" w:hAnsi="Calibri" w:cs="Calibri"/>
          <w:lang w:val="en-US"/>
        </w:rPr>
      </w:pPr>
      <w:r>
        <w:rPr>
          <w:rFonts w:ascii="Calibri" w:hAnsi="Calibri" w:cs="Calibri"/>
          <w:lang w:val="en-US"/>
        </w:rPr>
        <w:t>Primarily a 4-year degree granting institution</w:t>
      </w:r>
    </w:p>
    <w:p w:rsidR="009B5269" w:rsidRDefault="009B5269" w:rsidP="009B5269">
      <w:pPr>
        <w:pStyle w:val="ListParagraph"/>
        <w:numPr>
          <w:ilvl w:val="0"/>
          <w:numId w:val="2"/>
        </w:numPr>
        <w:ind w:left="720"/>
        <w:rPr>
          <w:rFonts w:cs="Calibri"/>
          <w:sz w:val="24"/>
        </w:rPr>
      </w:pPr>
      <w:r>
        <w:rPr>
          <w:rFonts w:cs="Calibri"/>
          <w:sz w:val="24"/>
        </w:rPr>
        <w:t xml:space="preserve">ACT, AP scores, SAT </w:t>
      </w:r>
    </w:p>
    <w:p w:rsidR="009B5269" w:rsidRDefault="009B5269" w:rsidP="009B5269">
      <w:pPr>
        <w:pStyle w:val="ListParagraph"/>
        <w:numPr>
          <w:ilvl w:val="0"/>
          <w:numId w:val="2"/>
        </w:numPr>
        <w:ind w:left="720"/>
        <w:rPr>
          <w:rFonts w:cs="Calibri"/>
          <w:sz w:val="24"/>
          <w:lang w:val="en-US"/>
        </w:rPr>
      </w:pPr>
      <w:r>
        <w:rPr>
          <w:rFonts w:cs="Calibri"/>
          <w:sz w:val="24"/>
          <w:lang w:val="en-US"/>
        </w:rPr>
        <w:t xml:space="preserve">Chemistry Mathematics Placement Consideration. An entering student whose mathematics ACT score indicates the need for Mathematics 100-110 Essentials of Algebra I, II should complete the sequence before registering for any chemistry course.     Placement Recommendations. Chemistry placement recommendations are based on the student’s high school GPA and ACT scores. Course recommendations indicate a student’s readiness to take Chemistry 121. In some cases where students are borderline in terms of academic preparation, the recommendation will indicate the need to advise students carefully. No recommendation is made if any of the components used to make the determination is missing.     English     Freshman English. Recommendations for initial placement in freshman English courses are based upon the student’s ACT score in English and high school grade-point average. If the student’s ACT Composite score is less than 21, then mandatory placement applies. All English 100 and 111 instructors administer an impromptu diagnostic writing assignment during the </w:t>
      </w:r>
      <w:proofErr w:type="gramStart"/>
      <w:r>
        <w:rPr>
          <w:rFonts w:cs="Calibri"/>
          <w:sz w:val="24"/>
          <w:lang w:val="en-US"/>
        </w:rPr>
        <w:t>first class</w:t>
      </w:r>
      <w:proofErr w:type="gramEnd"/>
      <w:r>
        <w:rPr>
          <w:rFonts w:cs="Calibri"/>
          <w:sz w:val="24"/>
          <w:lang w:val="en-US"/>
        </w:rPr>
        <w:t xml:space="preserve"> meeting. Instructors who feel that they have an improperly placed student may recommend a different placement. Students who are inappropriately registered for English 100 or 111 will be dropped from that course and should see their advisers immediately to add the appropriate course during the add period.    Mathematics    Mandatory Placement. Mandatory placement applies to students with ACT Composite scores of less than 21 and prevents students who place in Mathematics 100 from enrolling in a mathematics course with a higher number.    Reading     Recommendations for enrollment in Reading </w:t>
      </w:r>
      <w:r>
        <w:rPr>
          <w:rFonts w:cs="Calibri"/>
          <w:sz w:val="24"/>
          <w:lang w:val="en-US"/>
        </w:rPr>
        <w:lastRenderedPageBreak/>
        <w:t xml:space="preserve">100 are based on the student’s ACT reading score. Anyone with an ACT Reading score of 21 or less will be placed in Reading 100. Students who enroll in this class can expect to receive instruction and practice in reading strategies required to handle beginning college text material. Reading 100 should be completed prior to, or in conjunction with, enrollment in any reading intensive courses such as Biology, Business Law, Geology, History and Psychology    Students with ACT Composite Scores Below 21. Mandatory placement in Reading 100 will apply to all students with ACT Composite scores below 21 and/or ACT Reading scores below 21.  </w:t>
      </w:r>
    </w:p>
    <w:p w:rsidR="009B5269" w:rsidRDefault="009B5269" w:rsidP="009B5269">
      <w:pPr>
        <w:pStyle w:val="ListParagraph"/>
        <w:numPr>
          <w:ilvl w:val="0"/>
          <w:numId w:val="2"/>
        </w:numPr>
        <w:ind w:left="720"/>
        <w:rPr>
          <w:rFonts w:cs="Calibri"/>
          <w:sz w:val="24"/>
          <w:lang w:val="en-US"/>
        </w:rPr>
      </w:pPr>
      <w:r>
        <w:rPr>
          <w:rFonts w:cs="Calibri"/>
          <w:sz w:val="24"/>
          <w:lang w:val="en-US"/>
        </w:rPr>
        <w:t>A score of "Exempt" or "Ready for college-level English courses" on the CSU Early Assessment Program (EAP) taken along with the English Language Arts California Standard Test in grade 11      A score of “Conditionally ready for college-level English courses” or “Conditional” on the CSU Early Assessment Program (EAP) taken on grade 11, provided successful completion of the Expository Reading and Writing Course (ERWC), AP English, IB English or an English course approved for extra honors weight on the University of California “a-g” Doorways course list      A score of 500 or above on the critical reading section of the College Board SAT Reasoning Test      A score of 22 or above on the American College Testing (ACT) English Test      A score of 3 or above on either the Language and Composition or Composition and Literature examination of the College Board Scholastic Advanced Placement Program      Completion and transfer to CSU of the credits for a college course that satisfies the CSU General Education requirement in English Composition, provided such a course was completed with a grade of C or better    The most common ways students may earn an exemption from the ELM are by presenting proof of the following:        A score of "Exempt" or "Ready for college-level Mathematics courses" on the CSU Early Assessment Program (EAP), taken in grade 11 in conjunction with the CST in Summative High School Mathematics or Algebra II      A score of "Conditionally ready for college-level Mathematics courses" or "Conditional" on the CSU Early Assessment Program (EAP) taken in grade 11 along with the California Standards Test in Summative High School Mathematics or Algebra II, provided successful completion of a CSU-approved 12th grade math course that require Algebra II as a prerequisite      A score of 550 or above on the mathematics section of the College Board SAT Reasoning Test      A score of 550 or above on a College Board SAT Subject Test in Mathematics (level 1 or level 2)      A score of 23 or above on the American College Testing (ACT) Mathematics Test      A score of 3 or above on the College Board Advanced Placement Calculus AB or Calculus BC      A score of 3 or above on the College Board Advanced Placement Statistics examination      Completion and transfer to CSU of a college course that satisfies the requirement in Quantitative Reasoning, provided such a course was completed with a grade of C or better</w:t>
      </w:r>
    </w:p>
    <w:p w:rsidR="009B5269" w:rsidRDefault="009B5269" w:rsidP="009B5269">
      <w:pPr>
        <w:pStyle w:val="ListParagraph"/>
        <w:numPr>
          <w:ilvl w:val="0"/>
          <w:numId w:val="2"/>
        </w:numPr>
        <w:ind w:left="720"/>
        <w:rPr>
          <w:rFonts w:cs="Calibri"/>
          <w:sz w:val="24"/>
          <w:lang w:val="en-US"/>
        </w:rPr>
      </w:pPr>
      <w:r>
        <w:rPr>
          <w:rFonts w:cs="Calibri"/>
          <w:sz w:val="24"/>
          <w:lang w:val="en-US"/>
        </w:rPr>
        <w:lastRenderedPageBreak/>
        <w:t xml:space="preserve">ACT or SAT scores (but no longer beginning Fall </w:t>
      </w:r>
      <w:proofErr w:type="gramStart"/>
      <w:r>
        <w:rPr>
          <w:rFonts w:cs="Calibri"/>
          <w:sz w:val="24"/>
          <w:lang w:val="en-US"/>
        </w:rPr>
        <w:t>2018)(</w:t>
      </w:r>
      <w:proofErr w:type="gramEnd"/>
      <w:r>
        <w:rPr>
          <w:rFonts w:cs="Calibri"/>
          <w:sz w:val="24"/>
          <w:lang w:val="en-US"/>
        </w:rPr>
        <w:t>and we are test optional)  AP test scores  IB test scores  Appropriate transferred college coursework</w:t>
      </w:r>
    </w:p>
    <w:p w:rsidR="009B5269" w:rsidRDefault="009B5269" w:rsidP="009B5269">
      <w:pPr>
        <w:pStyle w:val="ListParagraph"/>
        <w:numPr>
          <w:ilvl w:val="0"/>
          <w:numId w:val="2"/>
        </w:numPr>
        <w:ind w:left="720"/>
        <w:rPr>
          <w:rFonts w:cs="Calibri"/>
          <w:sz w:val="24"/>
          <w:lang w:val="en-US"/>
        </w:rPr>
      </w:pPr>
      <w:r>
        <w:rPr>
          <w:rFonts w:cs="Calibri"/>
          <w:sz w:val="24"/>
          <w:lang w:val="en-US"/>
        </w:rPr>
        <w:t xml:space="preserve">ACT above </w:t>
      </w:r>
      <w:proofErr w:type="gramStart"/>
      <w:r>
        <w:rPr>
          <w:rFonts w:cs="Calibri"/>
          <w:sz w:val="24"/>
          <w:lang w:val="en-US"/>
        </w:rPr>
        <w:t>19  AP</w:t>
      </w:r>
      <w:proofErr w:type="gramEnd"/>
      <w:r>
        <w:rPr>
          <w:rFonts w:cs="Calibri"/>
          <w:sz w:val="24"/>
          <w:lang w:val="en-US"/>
        </w:rPr>
        <w:t xml:space="preserve"> passing test score</w:t>
      </w:r>
    </w:p>
    <w:p w:rsidR="009B5269" w:rsidRDefault="009B5269" w:rsidP="009B5269">
      <w:pPr>
        <w:pStyle w:val="ListParagraph"/>
        <w:numPr>
          <w:ilvl w:val="0"/>
          <w:numId w:val="2"/>
        </w:numPr>
        <w:ind w:left="720"/>
        <w:rPr>
          <w:rFonts w:cs="Calibri"/>
          <w:sz w:val="24"/>
          <w:lang w:val="en-US"/>
        </w:rPr>
      </w:pPr>
      <w:r>
        <w:rPr>
          <w:rFonts w:cs="Calibri"/>
          <w:sz w:val="24"/>
          <w:lang w:val="en-US"/>
        </w:rPr>
        <w:t>SAT, ACT, satisfactory completion of a course in math, writing, and/or critical thinking (reading)</w:t>
      </w:r>
    </w:p>
    <w:p w:rsidR="009B5269" w:rsidRDefault="009B5269" w:rsidP="009B5269">
      <w:pPr>
        <w:pStyle w:val="ListParagraph"/>
        <w:numPr>
          <w:ilvl w:val="0"/>
          <w:numId w:val="2"/>
        </w:numPr>
        <w:ind w:left="720"/>
        <w:rPr>
          <w:rFonts w:cs="Calibri"/>
          <w:sz w:val="24"/>
        </w:rPr>
      </w:pPr>
      <w:r>
        <w:rPr>
          <w:rFonts w:cs="Calibri"/>
          <w:sz w:val="24"/>
        </w:rPr>
        <w:t>N/A</w:t>
      </w:r>
    </w:p>
    <w:p w:rsidR="009B5269" w:rsidRDefault="009B5269" w:rsidP="009B5269">
      <w:pPr>
        <w:pStyle w:val="ListParagraph"/>
        <w:numPr>
          <w:ilvl w:val="0"/>
          <w:numId w:val="2"/>
        </w:numPr>
        <w:ind w:left="720"/>
        <w:rPr>
          <w:rFonts w:cs="Calibri"/>
          <w:sz w:val="24"/>
        </w:rPr>
      </w:pPr>
      <w:r>
        <w:rPr>
          <w:rFonts w:cs="Calibri"/>
          <w:sz w:val="24"/>
        </w:rPr>
        <w:t>ACT or SAT</w:t>
      </w:r>
    </w:p>
    <w:p w:rsidR="009B5269" w:rsidRDefault="009B5269" w:rsidP="009B5269">
      <w:pPr>
        <w:pStyle w:val="ListParagraph"/>
        <w:numPr>
          <w:ilvl w:val="0"/>
          <w:numId w:val="2"/>
        </w:numPr>
        <w:ind w:left="720"/>
        <w:rPr>
          <w:rFonts w:cs="Calibri"/>
          <w:sz w:val="24"/>
          <w:lang w:val="en-US"/>
        </w:rPr>
      </w:pPr>
      <w:r>
        <w:rPr>
          <w:rFonts w:cs="Calibri"/>
          <w:sz w:val="24"/>
          <w:lang w:val="en-US"/>
        </w:rPr>
        <w:t>- A score of 3 or above on either the Language and Composition or Composition and Literature examination of the College Board Scholastic Advanced Placement Program (AP)  - A score of 3 or above on the College Board Advanced Placement (AP) Calculus AB or Calculus BC exam  - A score of 4 or above on the International Baccalaureate (IB) Exams (Higher Level only) in English and/or math  - A placement test from another college or university  Successful completion of a college-level English composition and/or math course with a grade of “C-” or higher</w:t>
      </w:r>
    </w:p>
    <w:p w:rsidR="009B5269" w:rsidRDefault="009B5269" w:rsidP="009B5269">
      <w:pPr>
        <w:pStyle w:val="ListParagraph"/>
        <w:numPr>
          <w:ilvl w:val="0"/>
          <w:numId w:val="2"/>
        </w:numPr>
        <w:ind w:left="720"/>
        <w:rPr>
          <w:rFonts w:cs="Calibri"/>
          <w:sz w:val="24"/>
          <w:lang w:val="en-US"/>
        </w:rPr>
      </w:pPr>
      <w:r>
        <w:rPr>
          <w:rFonts w:cs="Calibri"/>
          <w:sz w:val="24"/>
          <w:lang w:val="en-US"/>
        </w:rPr>
        <w:t>Only if they already have college credit for a college English or Math course through a JumpStart, Dual Enrollment or some other pre-college program</w:t>
      </w:r>
    </w:p>
    <w:p w:rsidR="009B5269" w:rsidRDefault="009B5269" w:rsidP="009B5269">
      <w:pPr>
        <w:pStyle w:val="ListParagraph"/>
        <w:numPr>
          <w:ilvl w:val="0"/>
          <w:numId w:val="2"/>
        </w:numPr>
        <w:ind w:left="720"/>
        <w:rPr>
          <w:rFonts w:cs="Calibri"/>
          <w:sz w:val="24"/>
          <w:lang w:val="en-US"/>
        </w:rPr>
      </w:pPr>
      <w:r>
        <w:rPr>
          <w:rFonts w:cs="Calibri"/>
          <w:sz w:val="24"/>
          <w:lang w:val="en-US"/>
        </w:rPr>
        <w:t>Determined by major and HS transcript</w:t>
      </w:r>
    </w:p>
    <w:p w:rsidR="009B5269" w:rsidRDefault="009B5269" w:rsidP="009B5269">
      <w:pPr>
        <w:pStyle w:val="ListParagraph"/>
        <w:numPr>
          <w:ilvl w:val="0"/>
          <w:numId w:val="2"/>
        </w:numPr>
        <w:ind w:left="720"/>
        <w:rPr>
          <w:rFonts w:cs="Calibri"/>
          <w:sz w:val="24"/>
          <w:lang w:val="en-US"/>
        </w:rPr>
      </w:pPr>
      <w:r>
        <w:rPr>
          <w:rFonts w:cs="Calibri"/>
          <w:sz w:val="24"/>
          <w:lang w:val="en-US"/>
        </w:rPr>
        <w:t xml:space="preserve">Foreign language - 4 years of </w:t>
      </w:r>
      <w:proofErr w:type="gramStart"/>
      <w:r>
        <w:rPr>
          <w:rFonts w:cs="Calibri"/>
          <w:sz w:val="24"/>
          <w:lang w:val="en-US"/>
        </w:rPr>
        <w:t>HS  Math</w:t>
      </w:r>
      <w:proofErr w:type="gramEnd"/>
      <w:r>
        <w:rPr>
          <w:rFonts w:cs="Calibri"/>
          <w:sz w:val="24"/>
          <w:lang w:val="en-US"/>
        </w:rPr>
        <w:t xml:space="preserve"> Placement is calculated from HS GPA and math subscore on ACT</w:t>
      </w:r>
    </w:p>
    <w:p w:rsidR="009B5269" w:rsidRDefault="009B5269" w:rsidP="009B5269">
      <w:pPr>
        <w:pStyle w:val="ListParagraph"/>
        <w:numPr>
          <w:ilvl w:val="0"/>
          <w:numId w:val="2"/>
        </w:numPr>
        <w:ind w:left="720"/>
        <w:rPr>
          <w:rFonts w:cs="Calibri"/>
          <w:sz w:val="24"/>
          <w:lang w:val="en-US"/>
        </w:rPr>
      </w:pPr>
      <w:r>
        <w:rPr>
          <w:rFonts w:cs="Calibri"/>
          <w:sz w:val="24"/>
          <w:lang w:val="en-US"/>
        </w:rPr>
        <w:t>AP test scores and/or transfer credits</w:t>
      </w:r>
    </w:p>
    <w:p w:rsidR="009B5269" w:rsidRDefault="009B5269" w:rsidP="009B5269">
      <w:pPr>
        <w:pStyle w:val="ListParagraph"/>
        <w:numPr>
          <w:ilvl w:val="0"/>
          <w:numId w:val="2"/>
        </w:numPr>
        <w:ind w:left="720"/>
        <w:rPr>
          <w:rFonts w:cs="Calibri"/>
          <w:sz w:val="24"/>
          <w:lang w:val="en-US"/>
        </w:rPr>
      </w:pPr>
      <w:r>
        <w:rPr>
          <w:rFonts w:cs="Calibri"/>
          <w:sz w:val="24"/>
          <w:lang w:val="en-US"/>
        </w:rPr>
        <w:t>SAT and High School GPA Cut-offs</w:t>
      </w:r>
    </w:p>
    <w:p w:rsidR="009B5269" w:rsidRDefault="009B5269" w:rsidP="009B5269">
      <w:pPr>
        <w:pStyle w:val="ListParagraph"/>
        <w:numPr>
          <w:ilvl w:val="0"/>
          <w:numId w:val="2"/>
        </w:numPr>
        <w:ind w:left="720"/>
        <w:rPr>
          <w:rFonts w:cs="Calibri"/>
          <w:sz w:val="24"/>
        </w:rPr>
      </w:pPr>
      <w:r>
        <w:rPr>
          <w:rFonts w:cs="Calibri"/>
          <w:sz w:val="24"/>
        </w:rPr>
        <w:t>high school grades, interview</w:t>
      </w:r>
    </w:p>
    <w:p w:rsidR="009B5269" w:rsidRDefault="009B5269" w:rsidP="009B5269">
      <w:pPr>
        <w:pStyle w:val="ListParagraph"/>
        <w:numPr>
          <w:ilvl w:val="0"/>
          <w:numId w:val="2"/>
        </w:numPr>
        <w:ind w:left="720"/>
        <w:rPr>
          <w:rFonts w:cs="Calibri"/>
          <w:sz w:val="24"/>
        </w:rPr>
      </w:pPr>
      <w:r>
        <w:rPr>
          <w:rFonts w:cs="Calibri"/>
          <w:sz w:val="24"/>
        </w:rPr>
        <w:t>SAT</w:t>
      </w:r>
    </w:p>
    <w:p w:rsidR="009B5269" w:rsidRDefault="009B5269" w:rsidP="009B5269">
      <w:pPr>
        <w:pStyle w:val="ListParagraph"/>
        <w:numPr>
          <w:ilvl w:val="0"/>
          <w:numId w:val="2"/>
        </w:numPr>
        <w:ind w:left="720"/>
        <w:rPr>
          <w:rFonts w:cs="Calibri"/>
          <w:sz w:val="24"/>
          <w:lang w:val="en-US"/>
        </w:rPr>
      </w:pPr>
      <w:r>
        <w:rPr>
          <w:rFonts w:cs="Calibri"/>
          <w:sz w:val="24"/>
          <w:lang w:val="en-US"/>
        </w:rPr>
        <w:t>My understanding is that all new students take diagnostic tests in mathematics and writing.</w:t>
      </w:r>
    </w:p>
    <w:p w:rsidR="009B5269" w:rsidRDefault="009B5269" w:rsidP="009B5269">
      <w:pPr>
        <w:pStyle w:val="ListParagraph"/>
        <w:numPr>
          <w:ilvl w:val="0"/>
          <w:numId w:val="2"/>
        </w:numPr>
        <w:ind w:left="720"/>
        <w:rPr>
          <w:rFonts w:cs="Calibri"/>
          <w:sz w:val="24"/>
        </w:rPr>
      </w:pPr>
      <w:r>
        <w:rPr>
          <w:rFonts w:cs="Calibri"/>
          <w:sz w:val="24"/>
        </w:rPr>
        <w:t>There are no diagnostic tests</w:t>
      </w:r>
    </w:p>
    <w:p w:rsidR="009B5269" w:rsidRDefault="009B5269" w:rsidP="009B5269">
      <w:pPr>
        <w:pStyle w:val="ListParagraph"/>
        <w:numPr>
          <w:ilvl w:val="0"/>
          <w:numId w:val="2"/>
        </w:numPr>
        <w:ind w:left="720"/>
        <w:rPr>
          <w:rFonts w:cs="Calibri"/>
          <w:sz w:val="24"/>
        </w:rPr>
      </w:pPr>
      <w:r>
        <w:rPr>
          <w:rFonts w:cs="Calibri"/>
          <w:sz w:val="24"/>
        </w:rPr>
        <w:t>I'm not sure</w:t>
      </w:r>
    </w:p>
    <w:p w:rsidR="009B5269" w:rsidRDefault="009B5269" w:rsidP="009B5269">
      <w:pPr>
        <w:rPr>
          <w:rFonts w:ascii="Calibri" w:hAnsi="Calibri" w:cs="Calibri"/>
          <w:lang w:val="en-US"/>
        </w:rPr>
      </w:pPr>
      <w:r>
        <w:rPr>
          <w:rFonts w:ascii="Calibri" w:hAnsi="Calibri" w:cs="Calibri"/>
          <w:lang w:val="en-US"/>
        </w:rPr>
        <w:t>An MA or PHD granting Institution</w:t>
      </w:r>
    </w:p>
    <w:p w:rsidR="009B5269" w:rsidRDefault="009B5269" w:rsidP="009B5269">
      <w:pPr>
        <w:pStyle w:val="ListParagraph"/>
        <w:numPr>
          <w:ilvl w:val="0"/>
          <w:numId w:val="3"/>
        </w:numPr>
        <w:ind w:left="720"/>
        <w:rPr>
          <w:rFonts w:cs="Calibri"/>
          <w:sz w:val="24"/>
          <w:lang w:val="en-US"/>
        </w:rPr>
      </w:pPr>
      <w:r>
        <w:rPr>
          <w:rFonts w:cs="Calibri"/>
          <w:sz w:val="24"/>
          <w:lang w:val="en-US"/>
        </w:rPr>
        <w:t xml:space="preserve">Courses, AP test scores, or transfer credit </w:t>
      </w:r>
    </w:p>
    <w:p w:rsidR="009B5269" w:rsidRDefault="009B5269" w:rsidP="009B5269">
      <w:pPr>
        <w:pStyle w:val="ListParagraph"/>
        <w:numPr>
          <w:ilvl w:val="0"/>
          <w:numId w:val="3"/>
        </w:numPr>
        <w:ind w:left="720"/>
        <w:rPr>
          <w:rFonts w:cs="Calibri"/>
          <w:sz w:val="24"/>
        </w:rPr>
      </w:pPr>
      <w:r>
        <w:rPr>
          <w:rFonts w:cs="Calibri"/>
          <w:sz w:val="24"/>
        </w:rPr>
        <w:t>n/a</w:t>
      </w:r>
    </w:p>
    <w:p w:rsidR="009B5269" w:rsidRDefault="009B5269" w:rsidP="009B5269">
      <w:pPr>
        <w:pStyle w:val="ListParagraph"/>
        <w:numPr>
          <w:ilvl w:val="0"/>
          <w:numId w:val="3"/>
        </w:numPr>
        <w:ind w:left="720"/>
        <w:rPr>
          <w:rFonts w:cs="Calibri"/>
          <w:sz w:val="24"/>
          <w:lang w:val="en-US"/>
        </w:rPr>
      </w:pPr>
      <w:r>
        <w:rPr>
          <w:rFonts w:cs="Calibri"/>
          <w:sz w:val="24"/>
          <w:lang w:val="en-US"/>
        </w:rPr>
        <w:t>AP test scores, dual credit classes, CLEP, IB scores</w:t>
      </w:r>
    </w:p>
    <w:p w:rsidR="009B5269" w:rsidRDefault="009B5269" w:rsidP="009B5269">
      <w:pPr>
        <w:pStyle w:val="ListParagraph"/>
        <w:numPr>
          <w:ilvl w:val="0"/>
          <w:numId w:val="3"/>
        </w:numPr>
        <w:ind w:left="720"/>
        <w:rPr>
          <w:rFonts w:cs="Calibri"/>
          <w:sz w:val="24"/>
          <w:lang w:val="en-US"/>
        </w:rPr>
      </w:pPr>
      <w:r>
        <w:rPr>
          <w:rFonts w:cs="Calibri"/>
          <w:sz w:val="24"/>
          <w:lang w:val="en-US"/>
        </w:rPr>
        <w:t>ACT subscores above a certain level</w:t>
      </w:r>
    </w:p>
    <w:p w:rsidR="009B5269" w:rsidRDefault="009B5269" w:rsidP="009B5269">
      <w:pPr>
        <w:pStyle w:val="ListParagraph"/>
        <w:numPr>
          <w:ilvl w:val="0"/>
          <w:numId w:val="3"/>
        </w:numPr>
        <w:ind w:left="720"/>
        <w:rPr>
          <w:rFonts w:cs="Calibri"/>
          <w:sz w:val="24"/>
          <w:lang w:val="en-US"/>
        </w:rPr>
      </w:pPr>
      <w:r>
        <w:rPr>
          <w:rFonts w:cs="Calibri"/>
          <w:sz w:val="24"/>
          <w:lang w:val="en-US"/>
        </w:rPr>
        <w:t>ACT, SAT, and AP test scores</w:t>
      </w:r>
    </w:p>
    <w:p w:rsidR="009B5269" w:rsidRDefault="009B5269" w:rsidP="009B5269">
      <w:pPr>
        <w:pStyle w:val="ListParagraph"/>
        <w:numPr>
          <w:ilvl w:val="0"/>
          <w:numId w:val="3"/>
        </w:numPr>
        <w:ind w:left="720"/>
        <w:rPr>
          <w:rFonts w:cs="Calibri"/>
          <w:sz w:val="24"/>
          <w:lang w:val="en-US"/>
        </w:rPr>
      </w:pPr>
      <w:r>
        <w:rPr>
          <w:rFonts w:cs="Calibri"/>
          <w:sz w:val="24"/>
          <w:lang w:val="en-US"/>
        </w:rPr>
        <w:t>Scores needed for one program in the University - MAT</w:t>
      </w:r>
    </w:p>
    <w:p w:rsidR="009B5269" w:rsidRDefault="009B5269" w:rsidP="009B5269">
      <w:pPr>
        <w:pStyle w:val="ListParagraph"/>
        <w:numPr>
          <w:ilvl w:val="0"/>
          <w:numId w:val="3"/>
        </w:numPr>
        <w:ind w:left="720"/>
        <w:rPr>
          <w:rFonts w:cs="Calibri"/>
          <w:sz w:val="24"/>
        </w:rPr>
      </w:pPr>
      <w:r>
        <w:rPr>
          <w:rFonts w:cs="Calibri"/>
          <w:sz w:val="24"/>
          <w:lang w:val="en-US"/>
        </w:rPr>
        <w:t xml:space="preserve">We use ACT scores for English placement, and students can write an essay to prove worth to move out of developmental English.  </w:t>
      </w:r>
      <w:r>
        <w:rPr>
          <w:rFonts w:cs="Calibri"/>
          <w:sz w:val="24"/>
        </w:rPr>
        <w:t>ACT and math placement test is used for math.</w:t>
      </w:r>
    </w:p>
    <w:p w:rsidR="009B5269" w:rsidRDefault="009B5269" w:rsidP="009B5269">
      <w:pPr>
        <w:pStyle w:val="ListParagraph"/>
        <w:numPr>
          <w:ilvl w:val="0"/>
          <w:numId w:val="3"/>
        </w:numPr>
        <w:ind w:left="720"/>
        <w:rPr>
          <w:rFonts w:cs="Calibri"/>
          <w:sz w:val="24"/>
        </w:rPr>
      </w:pPr>
      <w:r>
        <w:rPr>
          <w:rFonts w:cs="Calibri"/>
          <w:sz w:val="24"/>
        </w:rPr>
        <w:t xml:space="preserve">ACT, SAT </w:t>
      </w:r>
    </w:p>
    <w:p w:rsidR="009B5269" w:rsidRDefault="009B5269" w:rsidP="009B5269">
      <w:pPr>
        <w:pStyle w:val="ListParagraph"/>
        <w:numPr>
          <w:ilvl w:val="0"/>
          <w:numId w:val="3"/>
        </w:numPr>
        <w:ind w:left="720"/>
        <w:rPr>
          <w:rFonts w:cs="Calibri"/>
          <w:sz w:val="24"/>
        </w:rPr>
      </w:pPr>
      <w:r>
        <w:rPr>
          <w:rFonts w:cs="Calibri"/>
          <w:sz w:val="24"/>
        </w:rPr>
        <w:lastRenderedPageBreak/>
        <w:t>NA</w:t>
      </w:r>
    </w:p>
    <w:p w:rsidR="009B5269" w:rsidRDefault="009B5269" w:rsidP="009B5269">
      <w:pPr>
        <w:pStyle w:val="ListParagraph"/>
        <w:numPr>
          <w:ilvl w:val="0"/>
          <w:numId w:val="3"/>
        </w:numPr>
        <w:ind w:left="720"/>
        <w:rPr>
          <w:rFonts w:cs="Calibri"/>
          <w:sz w:val="24"/>
        </w:rPr>
      </w:pPr>
      <w:r>
        <w:rPr>
          <w:rFonts w:cs="Calibri"/>
          <w:sz w:val="24"/>
        </w:rPr>
        <w:t>ACT/SAT/State TAKS test</w:t>
      </w:r>
    </w:p>
    <w:p w:rsidR="009B5269" w:rsidRDefault="009B5269" w:rsidP="009B5269">
      <w:pPr>
        <w:pStyle w:val="ListParagraph"/>
        <w:numPr>
          <w:ilvl w:val="0"/>
          <w:numId w:val="3"/>
        </w:numPr>
        <w:ind w:left="720"/>
        <w:rPr>
          <w:rFonts w:cs="Calibri"/>
          <w:sz w:val="24"/>
          <w:lang w:val="en-US"/>
        </w:rPr>
      </w:pPr>
      <w:r>
        <w:rPr>
          <w:rFonts w:cs="Calibri"/>
          <w:sz w:val="24"/>
          <w:lang w:val="en-US"/>
        </w:rPr>
        <w:t>Diagnostic tests are required for all incoming first-year students</w:t>
      </w:r>
    </w:p>
    <w:p w:rsidR="009B5269" w:rsidRDefault="009B5269" w:rsidP="009B5269">
      <w:pPr>
        <w:pStyle w:val="ListParagraph"/>
        <w:numPr>
          <w:ilvl w:val="0"/>
          <w:numId w:val="3"/>
        </w:numPr>
        <w:ind w:left="720"/>
        <w:rPr>
          <w:rFonts w:cs="Calibri"/>
          <w:sz w:val="24"/>
        </w:rPr>
      </w:pPr>
      <w:r>
        <w:rPr>
          <w:rFonts w:cs="Calibri"/>
          <w:sz w:val="24"/>
        </w:rPr>
        <w:t>N/A</w:t>
      </w:r>
    </w:p>
    <w:p w:rsidR="009B5269" w:rsidRDefault="009B5269" w:rsidP="009B5269">
      <w:pPr>
        <w:rPr>
          <w:rFonts w:ascii="Calibri" w:hAnsi="Calibri" w:cs="Calibri"/>
        </w:rPr>
      </w:pPr>
      <w:r>
        <w:rPr>
          <w:rFonts w:ascii="Calibri" w:hAnsi="Calibri" w:cs="Calibri"/>
        </w:rPr>
        <w:t>Research University</w:t>
      </w:r>
    </w:p>
    <w:p w:rsidR="009B5269" w:rsidRDefault="009B5269" w:rsidP="009B5269">
      <w:pPr>
        <w:pStyle w:val="ListParagraph"/>
        <w:numPr>
          <w:ilvl w:val="0"/>
          <w:numId w:val="4"/>
        </w:numPr>
        <w:ind w:left="720"/>
        <w:rPr>
          <w:rFonts w:cs="Calibri"/>
          <w:sz w:val="24"/>
        </w:rPr>
      </w:pPr>
      <w:r>
        <w:rPr>
          <w:rFonts w:cs="Calibri"/>
          <w:sz w:val="24"/>
        </w:rPr>
        <w:t>ACT</w:t>
      </w:r>
    </w:p>
    <w:p w:rsidR="009B5269" w:rsidRDefault="009B5269" w:rsidP="009B5269">
      <w:pPr>
        <w:pStyle w:val="ListParagraph"/>
        <w:numPr>
          <w:ilvl w:val="0"/>
          <w:numId w:val="4"/>
        </w:numPr>
        <w:ind w:left="720"/>
        <w:rPr>
          <w:rFonts w:cs="Calibri"/>
          <w:sz w:val="24"/>
          <w:lang w:val="en-US"/>
        </w:rPr>
      </w:pPr>
      <w:r>
        <w:rPr>
          <w:rFonts w:cs="Calibri"/>
          <w:sz w:val="24"/>
          <w:lang w:val="en-US"/>
        </w:rPr>
        <w:t>admissions are based on high school marks or if over twenty-one no marks necessary.</w:t>
      </w:r>
    </w:p>
    <w:p w:rsidR="009B5269" w:rsidRDefault="009B5269" w:rsidP="009B5269">
      <w:pPr>
        <w:pStyle w:val="ListParagraph"/>
        <w:numPr>
          <w:ilvl w:val="0"/>
          <w:numId w:val="4"/>
        </w:numPr>
        <w:ind w:left="720"/>
        <w:rPr>
          <w:rFonts w:cs="Calibri"/>
          <w:sz w:val="24"/>
          <w:lang w:val="en-US"/>
        </w:rPr>
      </w:pPr>
      <w:r>
        <w:rPr>
          <w:rFonts w:cs="Calibri"/>
          <w:sz w:val="24"/>
          <w:lang w:val="en-US"/>
        </w:rPr>
        <w:t>They can test out or if they have a 4 or above in an AP course.</w:t>
      </w:r>
    </w:p>
    <w:p w:rsidR="009B5269" w:rsidRDefault="009B5269" w:rsidP="009B5269">
      <w:pPr>
        <w:pStyle w:val="ListParagraph"/>
        <w:numPr>
          <w:ilvl w:val="0"/>
          <w:numId w:val="4"/>
        </w:numPr>
        <w:ind w:left="720"/>
        <w:rPr>
          <w:rFonts w:cs="Calibri"/>
          <w:sz w:val="24"/>
        </w:rPr>
      </w:pPr>
      <w:r>
        <w:rPr>
          <w:rFonts w:cs="Calibri"/>
          <w:sz w:val="24"/>
        </w:rPr>
        <w:t>HS grades &gt; 80%</w:t>
      </w:r>
    </w:p>
    <w:p w:rsidR="009B5269" w:rsidRDefault="009B5269" w:rsidP="009B5269">
      <w:pPr>
        <w:pStyle w:val="Heading1"/>
      </w:pPr>
      <w:r>
        <w:t xml:space="preserve"> </w:t>
      </w:r>
    </w:p>
    <w:p w:rsidR="009B5269" w:rsidRDefault="009B5269" w:rsidP="009B5269">
      <w:pPr>
        <w:pStyle w:val="Heading1"/>
      </w:pPr>
      <w:r>
        <w:br w:type="page"/>
      </w:r>
      <w:bookmarkStart w:id="1" w:name="_Toc504481447"/>
      <w:r>
        <w:lastRenderedPageBreak/>
        <w:t>Table 2 Evaluate each criterion as a predictor of student performance at your college</w:t>
      </w:r>
      <w:bookmarkEnd w:id="1"/>
    </w:p>
    <w:p w:rsidR="009B5269" w:rsidRDefault="009B5269" w:rsidP="009B5269"/>
    <w:p w:rsidR="009B5269" w:rsidRDefault="009B5269" w:rsidP="009B5269">
      <w:pPr>
        <w:pStyle w:val="Heading2"/>
      </w:pPr>
      <w:bookmarkStart w:id="2" w:name="_Toc504481448"/>
      <w:r>
        <w:t>Table 2.1.1 Evaluate ACT Scores as a predictor of student performance at your college</w:t>
      </w:r>
      <w:bookmarkEnd w:id="2"/>
    </w:p>
    <w:p w:rsidR="009B5269" w:rsidRDefault="009B5269" w:rsidP="009B526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96"/>
        <w:gridCol w:w="1246"/>
        <w:gridCol w:w="1490"/>
        <w:gridCol w:w="1411"/>
        <w:gridCol w:w="1411"/>
        <w:gridCol w:w="1411"/>
        <w:gridCol w:w="1411"/>
      </w:tblGrid>
      <w:tr w:rsidR="009B5269" w:rsidRPr="00505659" w:rsidTr="00EE0F73">
        <w:tc>
          <w:tcPr>
            <w:tcW w:w="4258" w:type="dxa"/>
          </w:tcPr>
          <w:p w:rsidR="009B5269" w:rsidRPr="00505659" w:rsidRDefault="009B5269" w:rsidP="00EE0F73">
            <w:r w:rsidRPr="00505659">
              <w:t xml:space="preserve"> </w:t>
            </w:r>
          </w:p>
        </w:tc>
        <w:tc>
          <w:tcPr>
            <w:tcW w:w="4258" w:type="dxa"/>
          </w:tcPr>
          <w:p w:rsidR="009B5269" w:rsidRPr="00505659" w:rsidRDefault="009B5269" w:rsidP="00EE0F73">
            <w:r w:rsidRPr="00505659">
              <w:t>No Answer</w:t>
            </w:r>
          </w:p>
        </w:tc>
        <w:tc>
          <w:tcPr>
            <w:tcW w:w="4258" w:type="dxa"/>
          </w:tcPr>
          <w:p w:rsidR="009B5269" w:rsidRPr="00505659" w:rsidRDefault="009B5269" w:rsidP="00EE0F73">
            <w:r w:rsidRPr="00E46759">
              <w:t>Not applicable to us</w:t>
            </w:r>
          </w:p>
        </w:tc>
        <w:tc>
          <w:tcPr>
            <w:tcW w:w="4258" w:type="dxa"/>
          </w:tcPr>
          <w:p w:rsidR="009B5269" w:rsidRPr="00505659" w:rsidRDefault="009B5269" w:rsidP="00EE0F73">
            <w:r w:rsidRPr="00E46759">
              <w:t>Poor Predictor</w:t>
            </w:r>
          </w:p>
        </w:tc>
        <w:tc>
          <w:tcPr>
            <w:tcW w:w="4258" w:type="dxa"/>
          </w:tcPr>
          <w:p w:rsidR="009B5269" w:rsidRPr="00E46759" w:rsidRDefault="009B5269" w:rsidP="00EE0F73">
            <w:pPr>
              <w:autoSpaceDE w:val="0"/>
              <w:autoSpaceDN w:val="0"/>
              <w:adjustRightInd w:val="0"/>
            </w:pPr>
            <w:r w:rsidRPr="00E46759">
              <w:t>Modestly Effective</w:t>
            </w:r>
          </w:p>
          <w:p w:rsidR="009B5269" w:rsidRPr="00505659" w:rsidRDefault="009B5269" w:rsidP="00EE0F73">
            <w:r w:rsidRPr="00E46759">
              <w:t>Predictor</w:t>
            </w:r>
          </w:p>
        </w:tc>
        <w:tc>
          <w:tcPr>
            <w:tcW w:w="4258" w:type="dxa"/>
          </w:tcPr>
          <w:p w:rsidR="009B5269" w:rsidRPr="00505659" w:rsidRDefault="009B5269" w:rsidP="00EE0F73">
            <w:r w:rsidRPr="00E46759">
              <w:t>Good Predictor</w:t>
            </w:r>
          </w:p>
        </w:tc>
        <w:tc>
          <w:tcPr>
            <w:tcW w:w="4258" w:type="dxa"/>
          </w:tcPr>
          <w:p w:rsidR="009B5269" w:rsidRPr="00505659" w:rsidRDefault="009B5269" w:rsidP="00EE0F73">
            <w:r w:rsidRPr="00E46759">
              <w:t>Excellent Predictor</w:t>
            </w:r>
          </w:p>
        </w:tc>
      </w:tr>
      <w:tr w:rsidR="009B5269" w:rsidRPr="00505659" w:rsidTr="00EE0F73">
        <w:tc>
          <w:tcPr>
            <w:tcW w:w="4258" w:type="dxa"/>
          </w:tcPr>
          <w:p w:rsidR="009B5269" w:rsidRPr="00505659" w:rsidRDefault="009B5269" w:rsidP="00EE0F73">
            <w:r w:rsidRPr="00505659">
              <w:t>Entire sample</w:t>
            </w:r>
          </w:p>
        </w:tc>
        <w:tc>
          <w:tcPr>
            <w:tcW w:w="4258" w:type="dxa"/>
          </w:tcPr>
          <w:p w:rsidR="009B5269" w:rsidRPr="00505659" w:rsidRDefault="009B5269" w:rsidP="00EE0F73">
            <w:r w:rsidRPr="00505659">
              <w:t>7.27%</w:t>
            </w:r>
          </w:p>
        </w:tc>
        <w:tc>
          <w:tcPr>
            <w:tcW w:w="4258" w:type="dxa"/>
          </w:tcPr>
          <w:p w:rsidR="009B5269" w:rsidRPr="00505659" w:rsidRDefault="009B5269" w:rsidP="00EE0F73">
            <w:r w:rsidRPr="00505659">
              <w:t>20.00%</w:t>
            </w:r>
          </w:p>
        </w:tc>
        <w:tc>
          <w:tcPr>
            <w:tcW w:w="4258" w:type="dxa"/>
          </w:tcPr>
          <w:p w:rsidR="009B5269" w:rsidRPr="00505659" w:rsidRDefault="009B5269" w:rsidP="00EE0F73">
            <w:r w:rsidRPr="00505659">
              <w:t>3.64%</w:t>
            </w:r>
          </w:p>
        </w:tc>
        <w:tc>
          <w:tcPr>
            <w:tcW w:w="4258" w:type="dxa"/>
          </w:tcPr>
          <w:p w:rsidR="009B5269" w:rsidRPr="00505659" w:rsidRDefault="009B5269" w:rsidP="00EE0F73">
            <w:r w:rsidRPr="00505659">
              <w:t>32.73%</w:t>
            </w:r>
          </w:p>
        </w:tc>
        <w:tc>
          <w:tcPr>
            <w:tcW w:w="4258" w:type="dxa"/>
          </w:tcPr>
          <w:p w:rsidR="009B5269" w:rsidRPr="00505659" w:rsidRDefault="009B5269" w:rsidP="00EE0F73">
            <w:r w:rsidRPr="00505659">
              <w:t>23.64%</w:t>
            </w:r>
          </w:p>
        </w:tc>
        <w:tc>
          <w:tcPr>
            <w:tcW w:w="4258" w:type="dxa"/>
          </w:tcPr>
          <w:p w:rsidR="009B5269" w:rsidRPr="00505659" w:rsidRDefault="009B5269" w:rsidP="00EE0F73">
            <w:r w:rsidRPr="00505659">
              <w:t>12.73%</w:t>
            </w:r>
          </w:p>
        </w:tc>
      </w:tr>
    </w:tbl>
    <w:p w:rsidR="009B5269" w:rsidRDefault="009B5269" w:rsidP="009B5269"/>
    <w:p w:rsidR="009B5269" w:rsidRDefault="009B5269" w:rsidP="009B5269"/>
    <w:p w:rsidR="009B5269" w:rsidRDefault="009B5269" w:rsidP="009B5269">
      <w:pPr>
        <w:pStyle w:val="Heading2"/>
      </w:pPr>
      <w:bookmarkStart w:id="3" w:name="_Toc504481449"/>
      <w:r>
        <w:t>Table 2.1.2 Evaluate ACT Scores as a predictor of student performance at your college Broken out by type of institution</w:t>
      </w:r>
      <w:bookmarkEnd w:id="3"/>
    </w:p>
    <w:p w:rsidR="009B5269" w:rsidRDefault="009B5269" w:rsidP="009B526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52"/>
        <w:gridCol w:w="1285"/>
        <w:gridCol w:w="1343"/>
        <w:gridCol w:w="1324"/>
        <w:gridCol w:w="1324"/>
        <w:gridCol w:w="1324"/>
        <w:gridCol w:w="1324"/>
      </w:tblGrid>
      <w:tr w:rsidR="009B5269" w:rsidRPr="00505659" w:rsidTr="00EE0F73">
        <w:tc>
          <w:tcPr>
            <w:tcW w:w="1722" w:type="dxa"/>
          </w:tcPr>
          <w:p w:rsidR="009B5269" w:rsidRPr="00505659" w:rsidRDefault="009B5269" w:rsidP="00EE0F73">
            <w:r>
              <w:t>Type of institution:</w:t>
            </w:r>
          </w:p>
        </w:tc>
        <w:tc>
          <w:tcPr>
            <w:tcW w:w="1363" w:type="dxa"/>
          </w:tcPr>
          <w:p w:rsidR="009B5269" w:rsidRPr="00505659" w:rsidRDefault="009B5269" w:rsidP="00EE0F73">
            <w:r w:rsidRPr="00505659">
              <w:t>No Answer</w:t>
            </w:r>
          </w:p>
        </w:tc>
        <w:tc>
          <w:tcPr>
            <w:tcW w:w="1364" w:type="dxa"/>
          </w:tcPr>
          <w:p w:rsidR="009B5269" w:rsidRPr="00505659" w:rsidRDefault="009B5269" w:rsidP="00EE0F73">
            <w:r w:rsidRPr="00E46759">
              <w:t>Not applicable to us</w:t>
            </w:r>
          </w:p>
        </w:tc>
        <w:tc>
          <w:tcPr>
            <w:tcW w:w="1364" w:type="dxa"/>
          </w:tcPr>
          <w:p w:rsidR="009B5269" w:rsidRPr="00505659" w:rsidRDefault="009B5269" w:rsidP="00EE0F73">
            <w:r w:rsidRPr="00E46759">
              <w:t>Poor Predictor</w:t>
            </w:r>
          </w:p>
        </w:tc>
        <w:tc>
          <w:tcPr>
            <w:tcW w:w="1364" w:type="dxa"/>
          </w:tcPr>
          <w:p w:rsidR="009B5269" w:rsidRPr="00E46759" w:rsidRDefault="009B5269" w:rsidP="00EE0F73">
            <w:pPr>
              <w:autoSpaceDE w:val="0"/>
              <w:autoSpaceDN w:val="0"/>
              <w:adjustRightInd w:val="0"/>
            </w:pPr>
            <w:r w:rsidRPr="00E46759">
              <w:t>Modestly Effective</w:t>
            </w:r>
          </w:p>
          <w:p w:rsidR="009B5269" w:rsidRPr="00505659" w:rsidRDefault="009B5269" w:rsidP="00EE0F73">
            <w:r w:rsidRPr="00E46759">
              <w:t>Predictor</w:t>
            </w:r>
          </w:p>
        </w:tc>
        <w:tc>
          <w:tcPr>
            <w:tcW w:w="1364" w:type="dxa"/>
          </w:tcPr>
          <w:p w:rsidR="009B5269" w:rsidRPr="00505659" w:rsidRDefault="009B5269" w:rsidP="00EE0F73">
            <w:r w:rsidRPr="00E46759">
              <w:t>Good Predictor</w:t>
            </w:r>
          </w:p>
        </w:tc>
        <w:tc>
          <w:tcPr>
            <w:tcW w:w="1364" w:type="dxa"/>
          </w:tcPr>
          <w:p w:rsidR="009B5269" w:rsidRPr="00505659" w:rsidRDefault="009B5269" w:rsidP="00EE0F73">
            <w:r w:rsidRPr="00E46759">
              <w:t>Excellent Predictor</w:t>
            </w:r>
          </w:p>
        </w:tc>
      </w:tr>
      <w:tr w:rsidR="009B5269" w:rsidRPr="00505659" w:rsidTr="00EE0F73">
        <w:tc>
          <w:tcPr>
            <w:tcW w:w="1722" w:type="dxa"/>
          </w:tcPr>
          <w:p w:rsidR="009B5269" w:rsidRPr="00505659" w:rsidRDefault="009B5269" w:rsidP="00EE0F73">
            <w:r>
              <w:t>Community College</w:t>
            </w:r>
          </w:p>
        </w:tc>
        <w:tc>
          <w:tcPr>
            <w:tcW w:w="1363" w:type="dxa"/>
          </w:tcPr>
          <w:p w:rsidR="009B5269" w:rsidRPr="00505659" w:rsidRDefault="009B5269" w:rsidP="00EE0F73">
            <w:r w:rsidRPr="00505659">
              <w:t>0.00%</w:t>
            </w:r>
          </w:p>
        </w:tc>
        <w:tc>
          <w:tcPr>
            <w:tcW w:w="1364" w:type="dxa"/>
          </w:tcPr>
          <w:p w:rsidR="009B5269" w:rsidRPr="00505659" w:rsidRDefault="009B5269" w:rsidP="00EE0F73">
            <w:r w:rsidRPr="00505659">
              <w:t>0.00%</w:t>
            </w:r>
          </w:p>
        </w:tc>
        <w:tc>
          <w:tcPr>
            <w:tcW w:w="1364" w:type="dxa"/>
          </w:tcPr>
          <w:p w:rsidR="009B5269" w:rsidRPr="00505659" w:rsidRDefault="009B5269" w:rsidP="00EE0F73">
            <w:r w:rsidRPr="00505659">
              <w:t>16.67%</w:t>
            </w:r>
          </w:p>
        </w:tc>
        <w:tc>
          <w:tcPr>
            <w:tcW w:w="1364" w:type="dxa"/>
          </w:tcPr>
          <w:p w:rsidR="009B5269" w:rsidRPr="00505659" w:rsidRDefault="009B5269" w:rsidP="00EE0F73">
            <w:r w:rsidRPr="00505659">
              <w:t>33.33%</w:t>
            </w:r>
          </w:p>
        </w:tc>
        <w:tc>
          <w:tcPr>
            <w:tcW w:w="1364" w:type="dxa"/>
          </w:tcPr>
          <w:p w:rsidR="009B5269" w:rsidRPr="00505659" w:rsidRDefault="009B5269" w:rsidP="00EE0F73">
            <w:r w:rsidRPr="00505659">
              <w:t>50.00%</w:t>
            </w:r>
          </w:p>
        </w:tc>
        <w:tc>
          <w:tcPr>
            <w:tcW w:w="1364" w:type="dxa"/>
          </w:tcPr>
          <w:p w:rsidR="009B5269" w:rsidRPr="00505659" w:rsidRDefault="009B5269" w:rsidP="00EE0F73">
            <w:r w:rsidRPr="00505659">
              <w:t>0.00%</w:t>
            </w:r>
          </w:p>
        </w:tc>
      </w:tr>
      <w:tr w:rsidR="009B5269" w:rsidRPr="00505659" w:rsidTr="00EE0F73">
        <w:tc>
          <w:tcPr>
            <w:tcW w:w="1722" w:type="dxa"/>
          </w:tcPr>
          <w:p w:rsidR="009B5269" w:rsidRPr="00505659" w:rsidRDefault="009B5269" w:rsidP="00EE0F73">
            <w:r>
              <w:t>Primarily a 4-year degree granting institution</w:t>
            </w:r>
          </w:p>
        </w:tc>
        <w:tc>
          <w:tcPr>
            <w:tcW w:w="1363" w:type="dxa"/>
          </w:tcPr>
          <w:p w:rsidR="009B5269" w:rsidRPr="00505659" w:rsidRDefault="009B5269" w:rsidP="00EE0F73">
            <w:r w:rsidRPr="00505659">
              <w:t>14.81%</w:t>
            </w:r>
          </w:p>
        </w:tc>
        <w:tc>
          <w:tcPr>
            <w:tcW w:w="1364" w:type="dxa"/>
          </w:tcPr>
          <w:p w:rsidR="009B5269" w:rsidRPr="00505659" w:rsidRDefault="009B5269" w:rsidP="00EE0F73">
            <w:r w:rsidRPr="00505659">
              <w:t>18.52%</w:t>
            </w:r>
          </w:p>
        </w:tc>
        <w:tc>
          <w:tcPr>
            <w:tcW w:w="1364" w:type="dxa"/>
          </w:tcPr>
          <w:p w:rsidR="009B5269" w:rsidRPr="00505659" w:rsidRDefault="009B5269" w:rsidP="00EE0F73">
            <w:r w:rsidRPr="00505659">
              <w:t>0.00%</w:t>
            </w:r>
          </w:p>
        </w:tc>
        <w:tc>
          <w:tcPr>
            <w:tcW w:w="1364" w:type="dxa"/>
          </w:tcPr>
          <w:p w:rsidR="009B5269" w:rsidRPr="00505659" w:rsidRDefault="009B5269" w:rsidP="00EE0F73">
            <w:r w:rsidRPr="00505659">
              <w:t>29.63%</w:t>
            </w:r>
          </w:p>
        </w:tc>
        <w:tc>
          <w:tcPr>
            <w:tcW w:w="1364" w:type="dxa"/>
          </w:tcPr>
          <w:p w:rsidR="009B5269" w:rsidRPr="00505659" w:rsidRDefault="009B5269" w:rsidP="00EE0F73">
            <w:r w:rsidRPr="00505659">
              <w:t>14.81%</w:t>
            </w:r>
          </w:p>
        </w:tc>
        <w:tc>
          <w:tcPr>
            <w:tcW w:w="1364" w:type="dxa"/>
          </w:tcPr>
          <w:p w:rsidR="009B5269" w:rsidRPr="00505659" w:rsidRDefault="009B5269" w:rsidP="00EE0F73">
            <w:r w:rsidRPr="00505659">
              <w:t>22.22%</w:t>
            </w:r>
          </w:p>
        </w:tc>
      </w:tr>
      <w:tr w:rsidR="009B5269" w:rsidRPr="00505659" w:rsidTr="00EE0F73">
        <w:tc>
          <w:tcPr>
            <w:tcW w:w="1722" w:type="dxa"/>
          </w:tcPr>
          <w:p w:rsidR="009B5269" w:rsidRPr="00505659" w:rsidRDefault="009B5269" w:rsidP="00EE0F73">
            <w:r>
              <w:t>An MA or PHD granting Institution</w:t>
            </w:r>
          </w:p>
        </w:tc>
        <w:tc>
          <w:tcPr>
            <w:tcW w:w="1363" w:type="dxa"/>
          </w:tcPr>
          <w:p w:rsidR="009B5269" w:rsidRPr="00505659" w:rsidRDefault="009B5269" w:rsidP="00EE0F73">
            <w:r w:rsidRPr="00505659">
              <w:t>0.00%</w:t>
            </w:r>
          </w:p>
        </w:tc>
        <w:tc>
          <w:tcPr>
            <w:tcW w:w="1364" w:type="dxa"/>
          </w:tcPr>
          <w:p w:rsidR="009B5269" w:rsidRPr="00505659" w:rsidRDefault="009B5269" w:rsidP="00EE0F73">
            <w:r w:rsidRPr="00505659">
              <w:t>26.67%</w:t>
            </w:r>
          </w:p>
        </w:tc>
        <w:tc>
          <w:tcPr>
            <w:tcW w:w="1364" w:type="dxa"/>
          </w:tcPr>
          <w:p w:rsidR="009B5269" w:rsidRPr="00505659" w:rsidRDefault="009B5269" w:rsidP="00EE0F73">
            <w:r w:rsidRPr="00505659">
              <w:t>6.67%</w:t>
            </w:r>
          </w:p>
        </w:tc>
        <w:tc>
          <w:tcPr>
            <w:tcW w:w="1364" w:type="dxa"/>
          </w:tcPr>
          <w:p w:rsidR="009B5269" w:rsidRPr="00505659" w:rsidRDefault="009B5269" w:rsidP="00EE0F73">
            <w:r w:rsidRPr="00505659">
              <w:t>33.33%</w:t>
            </w:r>
          </w:p>
        </w:tc>
        <w:tc>
          <w:tcPr>
            <w:tcW w:w="1364" w:type="dxa"/>
          </w:tcPr>
          <w:p w:rsidR="009B5269" w:rsidRPr="00505659" w:rsidRDefault="009B5269" w:rsidP="00EE0F73">
            <w:r w:rsidRPr="00505659">
              <w:t>26.67%</w:t>
            </w:r>
          </w:p>
        </w:tc>
        <w:tc>
          <w:tcPr>
            <w:tcW w:w="1364" w:type="dxa"/>
          </w:tcPr>
          <w:p w:rsidR="009B5269" w:rsidRPr="00505659" w:rsidRDefault="009B5269" w:rsidP="00EE0F73">
            <w:r w:rsidRPr="00505659">
              <w:t>6.67%</w:t>
            </w:r>
          </w:p>
        </w:tc>
      </w:tr>
      <w:tr w:rsidR="009B5269" w:rsidRPr="00505659" w:rsidTr="00EE0F73">
        <w:tc>
          <w:tcPr>
            <w:tcW w:w="1722" w:type="dxa"/>
          </w:tcPr>
          <w:p w:rsidR="009B5269" w:rsidRPr="00505659" w:rsidRDefault="009B5269" w:rsidP="00EE0F73">
            <w:r>
              <w:t>Research University</w:t>
            </w:r>
          </w:p>
        </w:tc>
        <w:tc>
          <w:tcPr>
            <w:tcW w:w="1363" w:type="dxa"/>
          </w:tcPr>
          <w:p w:rsidR="009B5269" w:rsidRPr="00505659" w:rsidRDefault="009B5269" w:rsidP="00EE0F73">
            <w:r w:rsidRPr="00505659">
              <w:t>0.00%</w:t>
            </w:r>
          </w:p>
        </w:tc>
        <w:tc>
          <w:tcPr>
            <w:tcW w:w="1364" w:type="dxa"/>
          </w:tcPr>
          <w:p w:rsidR="009B5269" w:rsidRPr="00505659" w:rsidRDefault="009B5269" w:rsidP="00EE0F73">
            <w:r w:rsidRPr="00505659">
              <w:t>28.57%</w:t>
            </w:r>
          </w:p>
        </w:tc>
        <w:tc>
          <w:tcPr>
            <w:tcW w:w="1364" w:type="dxa"/>
          </w:tcPr>
          <w:p w:rsidR="009B5269" w:rsidRPr="00505659" w:rsidRDefault="009B5269" w:rsidP="00EE0F73">
            <w:r w:rsidRPr="00505659">
              <w:t>0.00%</w:t>
            </w:r>
          </w:p>
        </w:tc>
        <w:tc>
          <w:tcPr>
            <w:tcW w:w="1364" w:type="dxa"/>
          </w:tcPr>
          <w:p w:rsidR="009B5269" w:rsidRPr="00505659" w:rsidRDefault="009B5269" w:rsidP="00EE0F73">
            <w:r w:rsidRPr="00505659">
              <w:t>42.86%</w:t>
            </w:r>
          </w:p>
        </w:tc>
        <w:tc>
          <w:tcPr>
            <w:tcW w:w="1364" w:type="dxa"/>
          </w:tcPr>
          <w:p w:rsidR="009B5269" w:rsidRPr="00505659" w:rsidRDefault="009B5269" w:rsidP="00EE0F73">
            <w:r w:rsidRPr="00505659">
              <w:t>28.57%</w:t>
            </w:r>
          </w:p>
        </w:tc>
        <w:tc>
          <w:tcPr>
            <w:tcW w:w="1364" w:type="dxa"/>
          </w:tcPr>
          <w:p w:rsidR="009B5269" w:rsidRPr="00505659" w:rsidRDefault="009B5269" w:rsidP="00EE0F73">
            <w:r w:rsidRPr="00505659">
              <w:t>0.00%</w:t>
            </w:r>
          </w:p>
        </w:tc>
      </w:tr>
    </w:tbl>
    <w:p w:rsidR="009B5269" w:rsidRDefault="009B5269" w:rsidP="009B5269"/>
    <w:p w:rsidR="009B5269" w:rsidRDefault="009B5269" w:rsidP="009B5269"/>
    <w:p w:rsidR="009B5269" w:rsidRDefault="009B5269" w:rsidP="009B5269">
      <w:pPr>
        <w:pStyle w:val="Heading2"/>
      </w:pPr>
      <w:bookmarkStart w:id="4" w:name="_Toc504481450"/>
      <w:r>
        <w:t>Table 2.1.3 Evaluate ACT Scores as a predictor of student performance at your college Broken out for public and private colleges</w:t>
      </w:r>
      <w:bookmarkEnd w:id="4"/>
    </w:p>
    <w:p w:rsidR="009B5269" w:rsidRDefault="009B5269" w:rsidP="009B526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16"/>
        <w:gridCol w:w="1366"/>
        <w:gridCol w:w="1410"/>
        <w:gridCol w:w="1299"/>
        <w:gridCol w:w="1395"/>
        <w:gridCol w:w="1395"/>
        <w:gridCol w:w="1395"/>
      </w:tblGrid>
      <w:tr w:rsidR="009B5269" w:rsidRPr="00505659" w:rsidTr="00EE0F73">
        <w:tc>
          <w:tcPr>
            <w:tcW w:w="1387" w:type="dxa"/>
          </w:tcPr>
          <w:p w:rsidR="009B5269" w:rsidRPr="00505659" w:rsidRDefault="009B5269" w:rsidP="00EE0F73">
            <w:r>
              <w:t>Your college is:</w:t>
            </w:r>
          </w:p>
        </w:tc>
        <w:tc>
          <w:tcPr>
            <w:tcW w:w="1439" w:type="dxa"/>
          </w:tcPr>
          <w:p w:rsidR="009B5269" w:rsidRPr="00505659" w:rsidRDefault="009B5269" w:rsidP="00EE0F73">
            <w:r w:rsidRPr="00505659">
              <w:t>No Answer</w:t>
            </w:r>
          </w:p>
        </w:tc>
        <w:tc>
          <w:tcPr>
            <w:tcW w:w="1439" w:type="dxa"/>
          </w:tcPr>
          <w:p w:rsidR="009B5269" w:rsidRPr="00505659" w:rsidRDefault="009B5269" w:rsidP="00EE0F73">
            <w:r w:rsidRPr="00E46759">
              <w:t>Not applicable to us</w:t>
            </w:r>
          </w:p>
        </w:tc>
        <w:tc>
          <w:tcPr>
            <w:tcW w:w="1323" w:type="dxa"/>
          </w:tcPr>
          <w:p w:rsidR="009B5269" w:rsidRPr="00505659" w:rsidRDefault="009B5269" w:rsidP="00EE0F73">
            <w:r w:rsidRPr="00E46759">
              <w:t>Poor Predictor</w:t>
            </w:r>
          </w:p>
        </w:tc>
        <w:tc>
          <w:tcPr>
            <w:tcW w:w="1439" w:type="dxa"/>
          </w:tcPr>
          <w:p w:rsidR="009B5269" w:rsidRPr="00E46759" w:rsidRDefault="009B5269" w:rsidP="00EE0F73">
            <w:pPr>
              <w:autoSpaceDE w:val="0"/>
              <w:autoSpaceDN w:val="0"/>
              <w:adjustRightInd w:val="0"/>
            </w:pPr>
            <w:r w:rsidRPr="00E46759">
              <w:t>Modestly Effective</w:t>
            </w:r>
          </w:p>
          <w:p w:rsidR="009B5269" w:rsidRPr="00505659" w:rsidRDefault="009B5269" w:rsidP="00EE0F73">
            <w:r w:rsidRPr="00E46759">
              <w:t>Predictor</w:t>
            </w:r>
          </w:p>
        </w:tc>
        <w:tc>
          <w:tcPr>
            <w:tcW w:w="1439" w:type="dxa"/>
          </w:tcPr>
          <w:p w:rsidR="009B5269" w:rsidRPr="00505659" w:rsidRDefault="009B5269" w:rsidP="00EE0F73">
            <w:r w:rsidRPr="00E46759">
              <w:t>Good Predictor</w:t>
            </w:r>
          </w:p>
        </w:tc>
        <w:tc>
          <w:tcPr>
            <w:tcW w:w="1439" w:type="dxa"/>
          </w:tcPr>
          <w:p w:rsidR="009B5269" w:rsidRPr="00505659" w:rsidRDefault="009B5269" w:rsidP="00EE0F73">
            <w:r w:rsidRPr="00E46759">
              <w:t>Excellent Predictor</w:t>
            </w:r>
          </w:p>
        </w:tc>
      </w:tr>
      <w:tr w:rsidR="009B5269" w:rsidRPr="00505659" w:rsidTr="00EE0F73">
        <w:tc>
          <w:tcPr>
            <w:tcW w:w="1387" w:type="dxa"/>
          </w:tcPr>
          <w:p w:rsidR="009B5269" w:rsidRPr="00505659" w:rsidRDefault="009B5269" w:rsidP="00EE0F73">
            <w:r>
              <w:t>Public College</w:t>
            </w:r>
          </w:p>
        </w:tc>
        <w:tc>
          <w:tcPr>
            <w:tcW w:w="1439" w:type="dxa"/>
          </w:tcPr>
          <w:p w:rsidR="009B5269" w:rsidRPr="00505659" w:rsidRDefault="009B5269" w:rsidP="00EE0F73">
            <w:r w:rsidRPr="00505659">
              <w:t>0.00%</w:t>
            </w:r>
          </w:p>
        </w:tc>
        <w:tc>
          <w:tcPr>
            <w:tcW w:w="1439" w:type="dxa"/>
          </w:tcPr>
          <w:p w:rsidR="009B5269" w:rsidRPr="00505659" w:rsidRDefault="009B5269" w:rsidP="00EE0F73">
            <w:r w:rsidRPr="00505659">
              <w:t>23.33%</w:t>
            </w:r>
          </w:p>
        </w:tc>
        <w:tc>
          <w:tcPr>
            <w:tcW w:w="1323" w:type="dxa"/>
          </w:tcPr>
          <w:p w:rsidR="009B5269" w:rsidRPr="00505659" w:rsidRDefault="009B5269" w:rsidP="00EE0F73">
            <w:r w:rsidRPr="00505659">
              <w:t>3.33%</w:t>
            </w:r>
          </w:p>
        </w:tc>
        <w:tc>
          <w:tcPr>
            <w:tcW w:w="1439" w:type="dxa"/>
          </w:tcPr>
          <w:p w:rsidR="009B5269" w:rsidRPr="00505659" w:rsidRDefault="009B5269" w:rsidP="00EE0F73">
            <w:r w:rsidRPr="00505659">
              <w:t>33.33%</w:t>
            </w:r>
          </w:p>
        </w:tc>
        <w:tc>
          <w:tcPr>
            <w:tcW w:w="1439" w:type="dxa"/>
          </w:tcPr>
          <w:p w:rsidR="009B5269" w:rsidRPr="00505659" w:rsidRDefault="009B5269" w:rsidP="00EE0F73">
            <w:r w:rsidRPr="00505659">
              <w:t>26.67%</w:t>
            </w:r>
          </w:p>
        </w:tc>
        <w:tc>
          <w:tcPr>
            <w:tcW w:w="1439" w:type="dxa"/>
          </w:tcPr>
          <w:p w:rsidR="009B5269" w:rsidRPr="00505659" w:rsidRDefault="009B5269" w:rsidP="00EE0F73">
            <w:r w:rsidRPr="00505659">
              <w:t>13.33%</w:t>
            </w:r>
          </w:p>
        </w:tc>
      </w:tr>
      <w:tr w:rsidR="009B5269" w:rsidRPr="00505659" w:rsidTr="00EE0F73">
        <w:tc>
          <w:tcPr>
            <w:tcW w:w="1387" w:type="dxa"/>
          </w:tcPr>
          <w:p w:rsidR="009B5269" w:rsidRPr="00505659" w:rsidRDefault="009B5269" w:rsidP="00EE0F73">
            <w:r>
              <w:t xml:space="preserve">Private </w:t>
            </w:r>
            <w:r>
              <w:lastRenderedPageBreak/>
              <w:t>College</w:t>
            </w:r>
          </w:p>
        </w:tc>
        <w:tc>
          <w:tcPr>
            <w:tcW w:w="1439" w:type="dxa"/>
          </w:tcPr>
          <w:p w:rsidR="009B5269" w:rsidRPr="00505659" w:rsidRDefault="009B5269" w:rsidP="00EE0F73">
            <w:r w:rsidRPr="00505659">
              <w:lastRenderedPageBreak/>
              <w:t>16.00%</w:t>
            </w:r>
          </w:p>
        </w:tc>
        <w:tc>
          <w:tcPr>
            <w:tcW w:w="1439" w:type="dxa"/>
          </w:tcPr>
          <w:p w:rsidR="009B5269" w:rsidRPr="00505659" w:rsidRDefault="009B5269" w:rsidP="00EE0F73">
            <w:r w:rsidRPr="00505659">
              <w:t>16.00%</w:t>
            </w:r>
          </w:p>
        </w:tc>
        <w:tc>
          <w:tcPr>
            <w:tcW w:w="1323" w:type="dxa"/>
          </w:tcPr>
          <w:p w:rsidR="009B5269" w:rsidRPr="00505659" w:rsidRDefault="009B5269" w:rsidP="00EE0F73">
            <w:r w:rsidRPr="00505659">
              <w:t>4.00%</w:t>
            </w:r>
          </w:p>
        </w:tc>
        <w:tc>
          <w:tcPr>
            <w:tcW w:w="1439" w:type="dxa"/>
          </w:tcPr>
          <w:p w:rsidR="009B5269" w:rsidRPr="00505659" w:rsidRDefault="009B5269" w:rsidP="00EE0F73">
            <w:r w:rsidRPr="00505659">
              <w:t>32.00%</w:t>
            </w:r>
          </w:p>
        </w:tc>
        <w:tc>
          <w:tcPr>
            <w:tcW w:w="1439" w:type="dxa"/>
          </w:tcPr>
          <w:p w:rsidR="009B5269" w:rsidRPr="00505659" w:rsidRDefault="009B5269" w:rsidP="00EE0F73">
            <w:r w:rsidRPr="00505659">
              <w:t>20.00%</w:t>
            </w:r>
          </w:p>
        </w:tc>
        <w:tc>
          <w:tcPr>
            <w:tcW w:w="1439" w:type="dxa"/>
          </w:tcPr>
          <w:p w:rsidR="009B5269" w:rsidRPr="00505659" w:rsidRDefault="009B5269" w:rsidP="00EE0F73">
            <w:r w:rsidRPr="00505659">
              <w:t>12.00%</w:t>
            </w:r>
          </w:p>
        </w:tc>
      </w:tr>
    </w:tbl>
    <w:p w:rsidR="009B5269" w:rsidRDefault="009B5269" w:rsidP="009B5269"/>
    <w:p w:rsidR="009B5269" w:rsidRDefault="009B5269" w:rsidP="009B5269"/>
    <w:p w:rsidR="009B5269" w:rsidRDefault="009B5269" w:rsidP="009B5269">
      <w:pPr>
        <w:pStyle w:val="Heading2"/>
      </w:pPr>
      <w:bookmarkStart w:id="5" w:name="_Toc504481451"/>
      <w:r>
        <w:t>Table 2.1.4 Evaluate ACT Scores as a predictor of student performance at your college Broken out by enrollment</w:t>
      </w:r>
      <w:bookmarkEnd w:id="5"/>
    </w:p>
    <w:p w:rsidR="009B5269" w:rsidRDefault="009B5269" w:rsidP="009B526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26"/>
        <w:gridCol w:w="1291"/>
        <w:gridCol w:w="1347"/>
        <w:gridCol w:w="1328"/>
        <w:gridCol w:w="1328"/>
        <w:gridCol w:w="1328"/>
        <w:gridCol w:w="1328"/>
      </w:tblGrid>
      <w:tr w:rsidR="009B5269" w:rsidRPr="00505659" w:rsidTr="00EE0F73">
        <w:tc>
          <w:tcPr>
            <w:tcW w:w="1695" w:type="dxa"/>
          </w:tcPr>
          <w:p w:rsidR="009B5269" w:rsidRPr="00505659" w:rsidRDefault="009B5269" w:rsidP="00EE0F73">
            <w:r w:rsidRPr="00505659">
              <w:t>Enrollment</w:t>
            </w:r>
          </w:p>
        </w:tc>
        <w:tc>
          <w:tcPr>
            <w:tcW w:w="1369" w:type="dxa"/>
          </w:tcPr>
          <w:p w:rsidR="009B5269" w:rsidRPr="00505659" w:rsidRDefault="009B5269" w:rsidP="00EE0F73">
            <w:r w:rsidRPr="00505659">
              <w:t>No Answer</w:t>
            </w:r>
          </w:p>
        </w:tc>
        <w:tc>
          <w:tcPr>
            <w:tcW w:w="1369" w:type="dxa"/>
          </w:tcPr>
          <w:p w:rsidR="009B5269" w:rsidRPr="00505659" w:rsidRDefault="009B5269" w:rsidP="00EE0F73">
            <w:r w:rsidRPr="00E46759">
              <w:t>Not applicable to us</w:t>
            </w:r>
          </w:p>
        </w:tc>
        <w:tc>
          <w:tcPr>
            <w:tcW w:w="1368" w:type="dxa"/>
          </w:tcPr>
          <w:p w:rsidR="009B5269" w:rsidRPr="00505659" w:rsidRDefault="009B5269" w:rsidP="00EE0F73">
            <w:r w:rsidRPr="00E46759">
              <w:t>Poor Predictor</w:t>
            </w:r>
          </w:p>
        </w:tc>
        <w:tc>
          <w:tcPr>
            <w:tcW w:w="1368" w:type="dxa"/>
          </w:tcPr>
          <w:p w:rsidR="009B5269" w:rsidRPr="00E46759" w:rsidRDefault="009B5269" w:rsidP="00EE0F73">
            <w:pPr>
              <w:autoSpaceDE w:val="0"/>
              <w:autoSpaceDN w:val="0"/>
              <w:adjustRightInd w:val="0"/>
            </w:pPr>
            <w:r w:rsidRPr="00E46759">
              <w:t>Modestly Effective</w:t>
            </w:r>
          </w:p>
          <w:p w:rsidR="009B5269" w:rsidRPr="00505659" w:rsidRDefault="009B5269" w:rsidP="00EE0F73">
            <w:r w:rsidRPr="00E46759">
              <w:t>Predictor</w:t>
            </w:r>
          </w:p>
        </w:tc>
        <w:tc>
          <w:tcPr>
            <w:tcW w:w="1368" w:type="dxa"/>
          </w:tcPr>
          <w:p w:rsidR="009B5269" w:rsidRPr="00505659" w:rsidRDefault="009B5269" w:rsidP="00EE0F73">
            <w:r w:rsidRPr="00E46759">
              <w:t>Good Predictor</w:t>
            </w:r>
          </w:p>
        </w:tc>
        <w:tc>
          <w:tcPr>
            <w:tcW w:w="1368" w:type="dxa"/>
          </w:tcPr>
          <w:p w:rsidR="009B5269" w:rsidRPr="00505659" w:rsidRDefault="009B5269" w:rsidP="00EE0F73">
            <w:r w:rsidRPr="00E46759">
              <w:t>Excellent Predictor</w:t>
            </w:r>
          </w:p>
        </w:tc>
      </w:tr>
      <w:tr w:rsidR="009B5269" w:rsidRPr="00505659" w:rsidTr="00EE0F73">
        <w:tc>
          <w:tcPr>
            <w:tcW w:w="1695" w:type="dxa"/>
          </w:tcPr>
          <w:p w:rsidR="009B5269" w:rsidRPr="00505659" w:rsidRDefault="009B5269" w:rsidP="00EE0F73">
            <w:r>
              <w:t>Less than 2000</w:t>
            </w:r>
          </w:p>
        </w:tc>
        <w:tc>
          <w:tcPr>
            <w:tcW w:w="1369" w:type="dxa"/>
          </w:tcPr>
          <w:p w:rsidR="009B5269" w:rsidRPr="00505659" w:rsidRDefault="009B5269" w:rsidP="00EE0F73">
            <w:r w:rsidRPr="00505659">
              <w:t>20.00%</w:t>
            </w:r>
          </w:p>
        </w:tc>
        <w:tc>
          <w:tcPr>
            <w:tcW w:w="1369" w:type="dxa"/>
          </w:tcPr>
          <w:p w:rsidR="009B5269" w:rsidRPr="00505659" w:rsidRDefault="009B5269" w:rsidP="00EE0F73">
            <w:r w:rsidRPr="00505659">
              <w:t>33.33%</w:t>
            </w:r>
          </w:p>
        </w:tc>
        <w:tc>
          <w:tcPr>
            <w:tcW w:w="1368" w:type="dxa"/>
          </w:tcPr>
          <w:p w:rsidR="009B5269" w:rsidRPr="00505659" w:rsidRDefault="009B5269" w:rsidP="00EE0F73">
            <w:r w:rsidRPr="00505659">
              <w:t>6.67%</w:t>
            </w:r>
          </w:p>
        </w:tc>
        <w:tc>
          <w:tcPr>
            <w:tcW w:w="1368" w:type="dxa"/>
          </w:tcPr>
          <w:p w:rsidR="009B5269" w:rsidRPr="00505659" w:rsidRDefault="009B5269" w:rsidP="00EE0F73">
            <w:r w:rsidRPr="00505659">
              <w:t>13.33%</w:t>
            </w:r>
          </w:p>
        </w:tc>
        <w:tc>
          <w:tcPr>
            <w:tcW w:w="1368" w:type="dxa"/>
          </w:tcPr>
          <w:p w:rsidR="009B5269" w:rsidRPr="00505659" w:rsidRDefault="009B5269" w:rsidP="00EE0F73">
            <w:r w:rsidRPr="00505659">
              <w:t>13.33%</w:t>
            </w:r>
          </w:p>
        </w:tc>
        <w:tc>
          <w:tcPr>
            <w:tcW w:w="1368" w:type="dxa"/>
          </w:tcPr>
          <w:p w:rsidR="009B5269" w:rsidRPr="00505659" w:rsidRDefault="009B5269" w:rsidP="00EE0F73">
            <w:r w:rsidRPr="00505659">
              <w:t>13.33%</w:t>
            </w:r>
          </w:p>
        </w:tc>
      </w:tr>
      <w:tr w:rsidR="009B5269" w:rsidRPr="00505659" w:rsidTr="00EE0F73">
        <w:tc>
          <w:tcPr>
            <w:tcW w:w="1695" w:type="dxa"/>
          </w:tcPr>
          <w:p w:rsidR="009B5269" w:rsidRPr="00505659" w:rsidRDefault="009B5269" w:rsidP="00EE0F73">
            <w:r>
              <w:t>2000 - 6999</w:t>
            </w:r>
          </w:p>
        </w:tc>
        <w:tc>
          <w:tcPr>
            <w:tcW w:w="1369" w:type="dxa"/>
          </w:tcPr>
          <w:p w:rsidR="009B5269" w:rsidRPr="00505659" w:rsidRDefault="009B5269" w:rsidP="00EE0F73">
            <w:r w:rsidRPr="00505659">
              <w:t>6.67%</w:t>
            </w:r>
          </w:p>
        </w:tc>
        <w:tc>
          <w:tcPr>
            <w:tcW w:w="1369" w:type="dxa"/>
          </w:tcPr>
          <w:p w:rsidR="009B5269" w:rsidRPr="00505659" w:rsidRDefault="009B5269" w:rsidP="00EE0F73">
            <w:r w:rsidRPr="00505659">
              <w:t>6.67%</w:t>
            </w:r>
          </w:p>
        </w:tc>
        <w:tc>
          <w:tcPr>
            <w:tcW w:w="1368" w:type="dxa"/>
          </w:tcPr>
          <w:p w:rsidR="009B5269" w:rsidRPr="00505659" w:rsidRDefault="009B5269" w:rsidP="00EE0F73">
            <w:r w:rsidRPr="00505659">
              <w:t>0.00%</w:t>
            </w:r>
          </w:p>
        </w:tc>
        <w:tc>
          <w:tcPr>
            <w:tcW w:w="1368" w:type="dxa"/>
          </w:tcPr>
          <w:p w:rsidR="009B5269" w:rsidRPr="00505659" w:rsidRDefault="009B5269" w:rsidP="00EE0F73">
            <w:r w:rsidRPr="00505659">
              <w:t>46.67%</w:t>
            </w:r>
          </w:p>
        </w:tc>
        <w:tc>
          <w:tcPr>
            <w:tcW w:w="1368" w:type="dxa"/>
          </w:tcPr>
          <w:p w:rsidR="009B5269" w:rsidRPr="00505659" w:rsidRDefault="009B5269" w:rsidP="00EE0F73">
            <w:r w:rsidRPr="00505659">
              <w:t>20.00%</w:t>
            </w:r>
          </w:p>
        </w:tc>
        <w:tc>
          <w:tcPr>
            <w:tcW w:w="1368" w:type="dxa"/>
          </w:tcPr>
          <w:p w:rsidR="009B5269" w:rsidRPr="00505659" w:rsidRDefault="009B5269" w:rsidP="00EE0F73">
            <w:r w:rsidRPr="00505659">
              <w:t>20.00%</w:t>
            </w:r>
          </w:p>
        </w:tc>
      </w:tr>
      <w:tr w:rsidR="009B5269" w:rsidRPr="00505659" w:rsidTr="00EE0F73">
        <w:tc>
          <w:tcPr>
            <w:tcW w:w="1695" w:type="dxa"/>
          </w:tcPr>
          <w:p w:rsidR="009B5269" w:rsidRPr="00505659" w:rsidRDefault="009B5269" w:rsidP="00EE0F73">
            <w:r>
              <w:t>7000 - 15000</w:t>
            </w:r>
          </w:p>
        </w:tc>
        <w:tc>
          <w:tcPr>
            <w:tcW w:w="1369" w:type="dxa"/>
          </w:tcPr>
          <w:p w:rsidR="009B5269" w:rsidRPr="00505659" w:rsidRDefault="009B5269" w:rsidP="00EE0F73">
            <w:r w:rsidRPr="00505659">
              <w:t>0.00%</w:t>
            </w:r>
          </w:p>
        </w:tc>
        <w:tc>
          <w:tcPr>
            <w:tcW w:w="1369" w:type="dxa"/>
          </w:tcPr>
          <w:p w:rsidR="009B5269" w:rsidRPr="00505659" w:rsidRDefault="009B5269" w:rsidP="00EE0F73">
            <w:r w:rsidRPr="00505659">
              <w:t>6.67%</w:t>
            </w:r>
          </w:p>
        </w:tc>
        <w:tc>
          <w:tcPr>
            <w:tcW w:w="1368" w:type="dxa"/>
          </w:tcPr>
          <w:p w:rsidR="009B5269" w:rsidRPr="00505659" w:rsidRDefault="009B5269" w:rsidP="00EE0F73">
            <w:r w:rsidRPr="00505659">
              <w:t>0.00%</w:t>
            </w:r>
          </w:p>
        </w:tc>
        <w:tc>
          <w:tcPr>
            <w:tcW w:w="1368" w:type="dxa"/>
          </w:tcPr>
          <w:p w:rsidR="009B5269" w:rsidRPr="00505659" w:rsidRDefault="009B5269" w:rsidP="00EE0F73">
            <w:r w:rsidRPr="00505659">
              <w:t>40.00%</w:t>
            </w:r>
          </w:p>
        </w:tc>
        <w:tc>
          <w:tcPr>
            <w:tcW w:w="1368" w:type="dxa"/>
          </w:tcPr>
          <w:p w:rsidR="009B5269" w:rsidRPr="00505659" w:rsidRDefault="009B5269" w:rsidP="00EE0F73">
            <w:r w:rsidRPr="00505659">
              <w:t>40.00%</w:t>
            </w:r>
          </w:p>
        </w:tc>
        <w:tc>
          <w:tcPr>
            <w:tcW w:w="1368" w:type="dxa"/>
          </w:tcPr>
          <w:p w:rsidR="009B5269" w:rsidRPr="00505659" w:rsidRDefault="009B5269" w:rsidP="00EE0F73">
            <w:r w:rsidRPr="00505659">
              <w:t>13.33%</w:t>
            </w:r>
          </w:p>
        </w:tc>
      </w:tr>
      <w:tr w:rsidR="009B5269" w:rsidRPr="00505659" w:rsidTr="00EE0F73">
        <w:tc>
          <w:tcPr>
            <w:tcW w:w="1695" w:type="dxa"/>
          </w:tcPr>
          <w:p w:rsidR="009B5269" w:rsidRPr="00505659" w:rsidRDefault="009B5269" w:rsidP="00EE0F73">
            <w:r>
              <w:t>More than 15000</w:t>
            </w:r>
          </w:p>
        </w:tc>
        <w:tc>
          <w:tcPr>
            <w:tcW w:w="1369" w:type="dxa"/>
          </w:tcPr>
          <w:p w:rsidR="009B5269" w:rsidRPr="00505659" w:rsidRDefault="009B5269" w:rsidP="00EE0F73">
            <w:r w:rsidRPr="00505659">
              <w:t>0.00%</w:t>
            </w:r>
          </w:p>
        </w:tc>
        <w:tc>
          <w:tcPr>
            <w:tcW w:w="1369" w:type="dxa"/>
          </w:tcPr>
          <w:p w:rsidR="009B5269" w:rsidRPr="00505659" w:rsidRDefault="009B5269" w:rsidP="00EE0F73">
            <w:r w:rsidRPr="00505659">
              <w:t>40.00%</w:t>
            </w:r>
          </w:p>
        </w:tc>
        <w:tc>
          <w:tcPr>
            <w:tcW w:w="1368" w:type="dxa"/>
          </w:tcPr>
          <w:p w:rsidR="009B5269" w:rsidRPr="00505659" w:rsidRDefault="009B5269" w:rsidP="00EE0F73">
            <w:r w:rsidRPr="00505659">
              <w:t>10.00%</w:t>
            </w:r>
          </w:p>
        </w:tc>
        <w:tc>
          <w:tcPr>
            <w:tcW w:w="1368" w:type="dxa"/>
          </w:tcPr>
          <w:p w:rsidR="009B5269" w:rsidRPr="00505659" w:rsidRDefault="009B5269" w:rsidP="00EE0F73">
            <w:r w:rsidRPr="00505659">
              <w:t>30.00%</w:t>
            </w:r>
          </w:p>
        </w:tc>
        <w:tc>
          <w:tcPr>
            <w:tcW w:w="1368" w:type="dxa"/>
          </w:tcPr>
          <w:p w:rsidR="009B5269" w:rsidRPr="00505659" w:rsidRDefault="009B5269" w:rsidP="00EE0F73">
            <w:r w:rsidRPr="00505659">
              <w:t>20.00%</w:t>
            </w:r>
          </w:p>
        </w:tc>
        <w:tc>
          <w:tcPr>
            <w:tcW w:w="1368" w:type="dxa"/>
          </w:tcPr>
          <w:p w:rsidR="009B5269" w:rsidRPr="00505659" w:rsidRDefault="009B5269" w:rsidP="00EE0F73">
            <w:r w:rsidRPr="00505659">
              <w:t>0.00%</w:t>
            </w:r>
          </w:p>
        </w:tc>
      </w:tr>
    </w:tbl>
    <w:p w:rsidR="009B5269" w:rsidRDefault="009B5269" w:rsidP="009B5269"/>
    <w:p w:rsidR="009B5269" w:rsidRDefault="009B5269" w:rsidP="009B5269"/>
    <w:p w:rsidR="009B5269" w:rsidRDefault="009B5269" w:rsidP="009B5269">
      <w:pPr>
        <w:pStyle w:val="Heading2"/>
      </w:pPr>
      <w:bookmarkStart w:id="6" w:name="_Toc504481452"/>
      <w:r>
        <w:t>Table 2.1.5 Evaluate ACT Scores as a predictor of student performance at your college Broken out by annual tuition, $</w:t>
      </w:r>
      <w:bookmarkEnd w:id="6"/>
    </w:p>
    <w:p w:rsidR="009B5269" w:rsidRDefault="009B5269" w:rsidP="009B526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17"/>
        <w:gridCol w:w="1366"/>
        <w:gridCol w:w="1409"/>
        <w:gridCol w:w="1299"/>
        <w:gridCol w:w="1395"/>
        <w:gridCol w:w="1395"/>
        <w:gridCol w:w="1395"/>
      </w:tblGrid>
      <w:tr w:rsidR="009B5269" w:rsidRPr="00505659" w:rsidTr="00EE0F73">
        <w:tc>
          <w:tcPr>
            <w:tcW w:w="1391" w:type="dxa"/>
          </w:tcPr>
          <w:p w:rsidR="009B5269" w:rsidRPr="00505659" w:rsidRDefault="009B5269" w:rsidP="00EE0F73">
            <w:r w:rsidRPr="00505659">
              <w:t>Annual tuition, $</w:t>
            </w:r>
          </w:p>
        </w:tc>
        <w:tc>
          <w:tcPr>
            <w:tcW w:w="1439" w:type="dxa"/>
          </w:tcPr>
          <w:p w:rsidR="009B5269" w:rsidRPr="00505659" w:rsidRDefault="009B5269" w:rsidP="00EE0F73">
            <w:r w:rsidRPr="00505659">
              <w:t>No Answer</w:t>
            </w:r>
          </w:p>
        </w:tc>
        <w:tc>
          <w:tcPr>
            <w:tcW w:w="1438" w:type="dxa"/>
          </w:tcPr>
          <w:p w:rsidR="009B5269" w:rsidRPr="00505659" w:rsidRDefault="009B5269" w:rsidP="00EE0F73">
            <w:r w:rsidRPr="00E46759">
              <w:t>Not applicable to us</w:t>
            </w:r>
          </w:p>
        </w:tc>
        <w:tc>
          <w:tcPr>
            <w:tcW w:w="1323" w:type="dxa"/>
          </w:tcPr>
          <w:p w:rsidR="009B5269" w:rsidRPr="00505659" w:rsidRDefault="009B5269" w:rsidP="00EE0F73">
            <w:r w:rsidRPr="00E46759">
              <w:t>Poor Predictor</w:t>
            </w:r>
          </w:p>
        </w:tc>
        <w:tc>
          <w:tcPr>
            <w:tcW w:w="1438" w:type="dxa"/>
          </w:tcPr>
          <w:p w:rsidR="009B5269" w:rsidRPr="00E46759" w:rsidRDefault="009B5269" w:rsidP="00EE0F73">
            <w:pPr>
              <w:autoSpaceDE w:val="0"/>
              <w:autoSpaceDN w:val="0"/>
              <w:adjustRightInd w:val="0"/>
            </w:pPr>
            <w:r w:rsidRPr="00E46759">
              <w:t>Modestly Effective</w:t>
            </w:r>
          </w:p>
          <w:p w:rsidR="009B5269" w:rsidRPr="00505659" w:rsidRDefault="009B5269" w:rsidP="00EE0F73">
            <w:r w:rsidRPr="00E46759">
              <w:t>Predictor</w:t>
            </w:r>
          </w:p>
        </w:tc>
        <w:tc>
          <w:tcPr>
            <w:tcW w:w="1438" w:type="dxa"/>
          </w:tcPr>
          <w:p w:rsidR="009B5269" w:rsidRPr="00505659" w:rsidRDefault="009B5269" w:rsidP="00EE0F73">
            <w:r w:rsidRPr="00E46759">
              <w:t>Good Predictor</w:t>
            </w:r>
          </w:p>
        </w:tc>
        <w:tc>
          <w:tcPr>
            <w:tcW w:w="1438" w:type="dxa"/>
          </w:tcPr>
          <w:p w:rsidR="009B5269" w:rsidRPr="00505659" w:rsidRDefault="009B5269" w:rsidP="00EE0F73">
            <w:r w:rsidRPr="00E46759">
              <w:t>Excellent Predictor</w:t>
            </w:r>
          </w:p>
        </w:tc>
      </w:tr>
      <w:tr w:rsidR="009B5269" w:rsidRPr="00505659" w:rsidTr="00EE0F73">
        <w:tc>
          <w:tcPr>
            <w:tcW w:w="1391" w:type="dxa"/>
          </w:tcPr>
          <w:p w:rsidR="009B5269" w:rsidRPr="00505659" w:rsidRDefault="009B5269" w:rsidP="00EE0F73">
            <w:r>
              <w:t>Less than 7000</w:t>
            </w:r>
          </w:p>
        </w:tc>
        <w:tc>
          <w:tcPr>
            <w:tcW w:w="1439" w:type="dxa"/>
          </w:tcPr>
          <w:p w:rsidR="009B5269" w:rsidRPr="00505659" w:rsidRDefault="009B5269" w:rsidP="00EE0F73">
            <w:r w:rsidRPr="00505659">
              <w:t>8.33%</w:t>
            </w:r>
          </w:p>
        </w:tc>
        <w:tc>
          <w:tcPr>
            <w:tcW w:w="1438" w:type="dxa"/>
          </w:tcPr>
          <w:p w:rsidR="009B5269" w:rsidRPr="00505659" w:rsidRDefault="009B5269" w:rsidP="00EE0F73">
            <w:r w:rsidRPr="00505659">
              <w:t>25.00%</w:t>
            </w:r>
          </w:p>
        </w:tc>
        <w:tc>
          <w:tcPr>
            <w:tcW w:w="1323" w:type="dxa"/>
          </w:tcPr>
          <w:p w:rsidR="009B5269" w:rsidRPr="00505659" w:rsidRDefault="009B5269" w:rsidP="00EE0F73">
            <w:r w:rsidRPr="00505659">
              <w:t>8.33%</w:t>
            </w:r>
          </w:p>
        </w:tc>
        <w:tc>
          <w:tcPr>
            <w:tcW w:w="1438" w:type="dxa"/>
          </w:tcPr>
          <w:p w:rsidR="009B5269" w:rsidRPr="00505659" w:rsidRDefault="009B5269" w:rsidP="00EE0F73">
            <w:r w:rsidRPr="00505659">
              <w:t>25.00%</w:t>
            </w:r>
          </w:p>
        </w:tc>
        <w:tc>
          <w:tcPr>
            <w:tcW w:w="1438" w:type="dxa"/>
          </w:tcPr>
          <w:p w:rsidR="009B5269" w:rsidRPr="00505659" w:rsidRDefault="009B5269" w:rsidP="00EE0F73">
            <w:r w:rsidRPr="00505659">
              <w:t>25.00%</w:t>
            </w:r>
          </w:p>
        </w:tc>
        <w:tc>
          <w:tcPr>
            <w:tcW w:w="1438" w:type="dxa"/>
          </w:tcPr>
          <w:p w:rsidR="009B5269" w:rsidRPr="00505659" w:rsidRDefault="009B5269" w:rsidP="00EE0F73">
            <w:r w:rsidRPr="00505659">
              <w:t>8.33%</w:t>
            </w:r>
          </w:p>
        </w:tc>
      </w:tr>
      <w:tr w:rsidR="009B5269" w:rsidRPr="00505659" w:rsidTr="00EE0F73">
        <w:tc>
          <w:tcPr>
            <w:tcW w:w="1391" w:type="dxa"/>
          </w:tcPr>
          <w:p w:rsidR="009B5269" w:rsidRPr="00505659" w:rsidRDefault="009B5269" w:rsidP="00EE0F73">
            <w:r>
              <w:t>7000 - 13999</w:t>
            </w:r>
          </w:p>
        </w:tc>
        <w:tc>
          <w:tcPr>
            <w:tcW w:w="1439" w:type="dxa"/>
          </w:tcPr>
          <w:p w:rsidR="009B5269" w:rsidRPr="00505659" w:rsidRDefault="009B5269" w:rsidP="00EE0F73">
            <w:r w:rsidRPr="00505659">
              <w:t>0.00%</w:t>
            </w:r>
          </w:p>
        </w:tc>
        <w:tc>
          <w:tcPr>
            <w:tcW w:w="1438" w:type="dxa"/>
          </w:tcPr>
          <w:p w:rsidR="009B5269" w:rsidRPr="00505659" w:rsidRDefault="009B5269" w:rsidP="00EE0F73">
            <w:r w:rsidRPr="00505659">
              <w:t>15.38%</w:t>
            </w:r>
          </w:p>
        </w:tc>
        <w:tc>
          <w:tcPr>
            <w:tcW w:w="1323" w:type="dxa"/>
          </w:tcPr>
          <w:p w:rsidR="009B5269" w:rsidRPr="00505659" w:rsidRDefault="009B5269" w:rsidP="00EE0F73">
            <w:r w:rsidRPr="00505659">
              <w:t>7.69%</w:t>
            </w:r>
          </w:p>
        </w:tc>
        <w:tc>
          <w:tcPr>
            <w:tcW w:w="1438" w:type="dxa"/>
          </w:tcPr>
          <w:p w:rsidR="009B5269" w:rsidRPr="00505659" w:rsidRDefault="009B5269" w:rsidP="00EE0F73">
            <w:r w:rsidRPr="00505659">
              <w:t>30.77%</w:t>
            </w:r>
          </w:p>
        </w:tc>
        <w:tc>
          <w:tcPr>
            <w:tcW w:w="1438" w:type="dxa"/>
          </w:tcPr>
          <w:p w:rsidR="009B5269" w:rsidRPr="00505659" w:rsidRDefault="009B5269" w:rsidP="00EE0F73">
            <w:r w:rsidRPr="00505659">
              <w:t>30.77%</w:t>
            </w:r>
          </w:p>
        </w:tc>
        <w:tc>
          <w:tcPr>
            <w:tcW w:w="1438" w:type="dxa"/>
          </w:tcPr>
          <w:p w:rsidR="009B5269" w:rsidRPr="00505659" w:rsidRDefault="009B5269" w:rsidP="00EE0F73">
            <w:r w:rsidRPr="00505659">
              <w:t>15.38%</w:t>
            </w:r>
          </w:p>
        </w:tc>
      </w:tr>
      <w:tr w:rsidR="009B5269" w:rsidRPr="00505659" w:rsidTr="00EE0F73">
        <w:tc>
          <w:tcPr>
            <w:tcW w:w="1391" w:type="dxa"/>
          </w:tcPr>
          <w:p w:rsidR="009B5269" w:rsidRPr="00505659" w:rsidRDefault="009B5269" w:rsidP="00EE0F73">
            <w:r>
              <w:t>14000 - 30000</w:t>
            </w:r>
          </w:p>
        </w:tc>
        <w:tc>
          <w:tcPr>
            <w:tcW w:w="1439" w:type="dxa"/>
          </w:tcPr>
          <w:p w:rsidR="009B5269" w:rsidRPr="00505659" w:rsidRDefault="009B5269" w:rsidP="00EE0F73">
            <w:r w:rsidRPr="00505659">
              <w:t>7.14%</w:t>
            </w:r>
          </w:p>
        </w:tc>
        <w:tc>
          <w:tcPr>
            <w:tcW w:w="1438" w:type="dxa"/>
          </w:tcPr>
          <w:p w:rsidR="009B5269" w:rsidRPr="00505659" w:rsidRDefault="009B5269" w:rsidP="00EE0F73">
            <w:r w:rsidRPr="00505659">
              <w:t>21.43%</w:t>
            </w:r>
          </w:p>
        </w:tc>
        <w:tc>
          <w:tcPr>
            <w:tcW w:w="1323" w:type="dxa"/>
          </w:tcPr>
          <w:p w:rsidR="009B5269" w:rsidRPr="00505659" w:rsidRDefault="009B5269" w:rsidP="00EE0F73">
            <w:r w:rsidRPr="00505659">
              <w:t>0.00%</w:t>
            </w:r>
          </w:p>
        </w:tc>
        <w:tc>
          <w:tcPr>
            <w:tcW w:w="1438" w:type="dxa"/>
          </w:tcPr>
          <w:p w:rsidR="009B5269" w:rsidRPr="00505659" w:rsidRDefault="009B5269" w:rsidP="00EE0F73">
            <w:r w:rsidRPr="00505659">
              <w:t>35.71%</w:t>
            </w:r>
          </w:p>
        </w:tc>
        <w:tc>
          <w:tcPr>
            <w:tcW w:w="1438" w:type="dxa"/>
          </w:tcPr>
          <w:p w:rsidR="009B5269" w:rsidRPr="00505659" w:rsidRDefault="009B5269" w:rsidP="00EE0F73">
            <w:r w:rsidRPr="00505659">
              <w:t>28.57%</w:t>
            </w:r>
          </w:p>
        </w:tc>
        <w:tc>
          <w:tcPr>
            <w:tcW w:w="1438" w:type="dxa"/>
          </w:tcPr>
          <w:p w:rsidR="009B5269" w:rsidRPr="00505659" w:rsidRDefault="009B5269" w:rsidP="00EE0F73">
            <w:r w:rsidRPr="00505659">
              <w:t>7.14%</w:t>
            </w:r>
          </w:p>
        </w:tc>
      </w:tr>
      <w:tr w:rsidR="009B5269" w:rsidRPr="00505659" w:rsidTr="00EE0F73">
        <w:tc>
          <w:tcPr>
            <w:tcW w:w="1391" w:type="dxa"/>
          </w:tcPr>
          <w:p w:rsidR="009B5269" w:rsidRPr="00505659" w:rsidRDefault="009B5269" w:rsidP="00EE0F73">
            <w:r>
              <w:t>More than 30000</w:t>
            </w:r>
          </w:p>
        </w:tc>
        <w:tc>
          <w:tcPr>
            <w:tcW w:w="1439" w:type="dxa"/>
          </w:tcPr>
          <w:p w:rsidR="009B5269" w:rsidRPr="00505659" w:rsidRDefault="009B5269" w:rsidP="00EE0F73">
            <w:r w:rsidRPr="00505659">
              <w:t>12.50%</w:t>
            </w:r>
          </w:p>
        </w:tc>
        <w:tc>
          <w:tcPr>
            <w:tcW w:w="1438" w:type="dxa"/>
          </w:tcPr>
          <w:p w:rsidR="009B5269" w:rsidRPr="00505659" w:rsidRDefault="009B5269" w:rsidP="00EE0F73">
            <w:r w:rsidRPr="00505659">
              <w:t>18.75%</w:t>
            </w:r>
          </w:p>
        </w:tc>
        <w:tc>
          <w:tcPr>
            <w:tcW w:w="1323" w:type="dxa"/>
          </w:tcPr>
          <w:p w:rsidR="009B5269" w:rsidRPr="00505659" w:rsidRDefault="009B5269" w:rsidP="00EE0F73">
            <w:r w:rsidRPr="00505659">
              <w:t>0.00%</w:t>
            </w:r>
          </w:p>
        </w:tc>
        <w:tc>
          <w:tcPr>
            <w:tcW w:w="1438" w:type="dxa"/>
          </w:tcPr>
          <w:p w:rsidR="009B5269" w:rsidRPr="00505659" w:rsidRDefault="009B5269" w:rsidP="00EE0F73">
            <w:r w:rsidRPr="00505659">
              <w:t>37.50%</w:t>
            </w:r>
          </w:p>
        </w:tc>
        <w:tc>
          <w:tcPr>
            <w:tcW w:w="1438" w:type="dxa"/>
          </w:tcPr>
          <w:p w:rsidR="009B5269" w:rsidRPr="00505659" w:rsidRDefault="009B5269" w:rsidP="00EE0F73">
            <w:r w:rsidRPr="00505659">
              <w:t>12.50%</w:t>
            </w:r>
          </w:p>
        </w:tc>
        <w:tc>
          <w:tcPr>
            <w:tcW w:w="1438" w:type="dxa"/>
          </w:tcPr>
          <w:p w:rsidR="009B5269" w:rsidRPr="00505659" w:rsidRDefault="009B5269" w:rsidP="00EE0F73">
            <w:r w:rsidRPr="00505659">
              <w:t>18.75%</w:t>
            </w:r>
          </w:p>
        </w:tc>
      </w:tr>
    </w:tbl>
    <w:p w:rsidR="009B5269" w:rsidRDefault="009B5269" w:rsidP="009B5269"/>
    <w:p w:rsidR="009B5269" w:rsidRDefault="009B5269" w:rsidP="009B5269"/>
    <w:p w:rsidR="00680991" w:rsidRDefault="00680991">
      <w:bookmarkStart w:id="7" w:name="_GoBack"/>
      <w:bookmarkEnd w:id="7"/>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A100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F13F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653228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BA73C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69"/>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B5269"/>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0BCEF-BCAD-49B0-94F1-58B9CBFA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269"/>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9B5269"/>
    <w:pPr>
      <w:keepNext/>
      <w:keepLines/>
      <w:spacing w:before="480"/>
      <w:outlineLvl w:val="0"/>
    </w:pPr>
    <w:rPr>
      <w:rFonts w:ascii="Calibri" w:eastAsia="Times New Roman" w:hAnsi="Calibri"/>
      <w:b/>
      <w:bCs/>
      <w:color w:val="345A8A"/>
      <w:sz w:val="32"/>
      <w:szCs w:val="32"/>
      <w:lang w:eastAsia="x-none"/>
    </w:rPr>
  </w:style>
  <w:style w:type="paragraph" w:styleId="Heading2">
    <w:name w:val="heading 2"/>
    <w:basedOn w:val="Normal"/>
    <w:next w:val="Normal"/>
    <w:link w:val="Heading2Char"/>
    <w:qFormat/>
    <w:rsid w:val="009B5269"/>
    <w:pPr>
      <w:keepNext/>
      <w:keepLines/>
      <w:spacing w:before="200"/>
      <w:outlineLvl w:val="1"/>
    </w:pPr>
    <w:rPr>
      <w:rFonts w:ascii="Calibri" w:eastAsia="Times New Roman" w:hAnsi="Calibri"/>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269"/>
    <w:rPr>
      <w:rFonts w:ascii="Calibri" w:eastAsia="Times New Roman" w:hAnsi="Calibri" w:cs="Times New Roman"/>
      <w:b/>
      <w:bCs/>
      <w:color w:val="345A8A"/>
      <w:sz w:val="32"/>
      <w:szCs w:val="32"/>
      <w:lang w:val="en-AU" w:eastAsia="x-none"/>
    </w:rPr>
  </w:style>
  <w:style w:type="character" w:customStyle="1" w:styleId="Heading2Char">
    <w:name w:val="Heading 2 Char"/>
    <w:basedOn w:val="DefaultParagraphFont"/>
    <w:link w:val="Heading2"/>
    <w:rsid w:val="009B5269"/>
    <w:rPr>
      <w:rFonts w:ascii="Calibri" w:eastAsia="Times New Roman" w:hAnsi="Calibri" w:cs="Times New Roman"/>
      <w:b/>
      <w:bCs/>
      <w:color w:val="4F81BD"/>
      <w:sz w:val="26"/>
      <w:szCs w:val="26"/>
      <w:lang w:val="en-AU" w:eastAsia="x-none"/>
    </w:rPr>
  </w:style>
  <w:style w:type="paragraph" w:styleId="ListParagraph">
    <w:name w:val="List Paragraph"/>
    <w:basedOn w:val="Normal"/>
    <w:qFormat/>
    <w:rsid w:val="009B5269"/>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2018-01-23T19:41:00Z</dcterms:created>
  <dcterms:modified xsi:type="dcterms:W3CDTF">2018-01-23T19:42:00Z</dcterms:modified>
</cp:coreProperties>
</file>