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B0AADC" w14:textId="4AAB2D64" w:rsidR="00776398" w:rsidRPr="00E2410D" w:rsidRDefault="00776398" w:rsidP="006264B8">
      <w:pPr>
        <w:pStyle w:val="TOCHeading"/>
        <w:spacing w:line="360" w:lineRule="auto"/>
        <w:rPr>
          <w:sz w:val="24"/>
          <w:szCs w:val="24"/>
        </w:rPr>
      </w:pPr>
      <w:r w:rsidRPr="00E2410D">
        <w:rPr>
          <w:sz w:val="24"/>
          <w:szCs w:val="24"/>
        </w:rPr>
        <w:t xml:space="preserve"> </w:t>
      </w:r>
    </w:p>
    <w:p w14:paraId="1781A7D3" w14:textId="77777777" w:rsidR="00FE0208" w:rsidRPr="00B613A5" w:rsidRDefault="00FE0208" w:rsidP="00FE0208">
      <w:pPr>
        <w:pStyle w:val="Heading1"/>
        <w:spacing w:line="360" w:lineRule="auto"/>
        <w:rPr>
          <w:sz w:val="48"/>
          <w:szCs w:val="48"/>
        </w:rPr>
      </w:pPr>
      <w:bookmarkStart w:id="0" w:name="_Toc45874559"/>
      <w:r w:rsidRPr="00B613A5">
        <w:rPr>
          <w:sz w:val="48"/>
          <w:szCs w:val="48"/>
        </w:rPr>
        <w:t>PROFILE 1: TEMPLE UNIVERSITY</w:t>
      </w:r>
      <w:bookmarkEnd w:id="0"/>
    </w:p>
    <w:p w14:paraId="64100F42" w14:textId="77777777" w:rsidR="00FE0208" w:rsidRPr="0016235B" w:rsidRDefault="00FE0208" w:rsidP="00FE0208">
      <w:pPr>
        <w:spacing w:line="360" w:lineRule="auto"/>
        <w:rPr>
          <w:sz w:val="24"/>
          <w:szCs w:val="24"/>
        </w:rPr>
      </w:pPr>
    </w:p>
    <w:p w14:paraId="57264D5D" w14:textId="77777777" w:rsidR="00FE0208" w:rsidRPr="0016235B" w:rsidRDefault="00FE0208" w:rsidP="00FE0208">
      <w:pPr>
        <w:pStyle w:val="Heading2"/>
        <w:spacing w:line="360" w:lineRule="auto"/>
        <w:rPr>
          <w:sz w:val="24"/>
          <w:szCs w:val="24"/>
        </w:rPr>
      </w:pPr>
      <w:bookmarkStart w:id="1" w:name="_Toc45874560"/>
      <w:r w:rsidRPr="0016235B">
        <w:rPr>
          <w:sz w:val="24"/>
          <w:szCs w:val="24"/>
        </w:rPr>
        <w:t>Introduction</w:t>
      </w:r>
      <w:bookmarkEnd w:id="1"/>
    </w:p>
    <w:p w14:paraId="7372C252" w14:textId="77777777" w:rsidR="00FE0208" w:rsidRPr="0016235B" w:rsidRDefault="00FE0208" w:rsidP="00FE0208">
      <w:pPr>
        <w:spacing w:line="360" w:lineRule="auto"/>
        <w:rPr>
          <w:sz w:val="24"/>
          <w:szCs w:val="24"/>
        </w:rPr>
      </w:pPr>
    </w:p>
    <w:p w14:paraId="1495C651" w14:textId="77777777" w:rsidR="00FE0208" w:rsidRDefault="00FE0208" w:rsidP="00FE0208">
      <w:pPr>
        <w:spacing w:line="360" w:lineRule="auto"/>
        <w:ind w:firstLine="720"/>
        <w:rPr>
          <w:sz w:val="24"/>
          <w:szCs w:val="24"/>
        </w:rPr>
      </w:pPr>
      <w:r w:rsidRPr="0016235B">
        <w:rPr>
          <w:sz w:val="24"/>
          <w:szCs w:val="24"/>
        </w:rPr>
        <w:t>Temple University (TU), founded in 1884, is a large public research university located in Philadelphia, Pennsylvania.  TU currently enrolls more than 40,000 undergraduate, graduate and professional students (</w:t>
      </w:r>
      <w:hyperlink r:id="rId4">
        <w:r w:rsidRPr="0016235B">
          <w:rPr>
            <w:color w:val="1155CC"/>
            <w:sz w:val="24"/>
            <w:szCs w:val="24"/>
            <w:u w:val="single"/>
          </w:rPr>
          <w:t>https://www.temple.edu/about</w:t>
        </w:r>
      </w:hyperlink>
      <w:r w:rsidRPr="0016235B">
        <w:rPr>
          <w:sz w:val="24"/>
          <w:szCs w:val="24"/>
        </w:rPr>
        <w:t>).  TU is made up of seventeen schools and colleges including the Beasley School of Law, Boyer College of Music and Dance, and Lewis Katz School of Medicine.  The mission of TU Libraries is “connecting people and ideas to enhance learning, research, clinical practice, and creativity” (</w:t>
      </w:r>
      <w:hyperlink r:id="rId5">
        <w:r w:rsidRPr="0016235B">
          <w:rPr>
            <w:color w:val="1155CC"/>
            <w:sz w:val="24"/>
            <w:szCs w:val="24"/>
            <w:u w:val="single"/>
          </w:rPr>
          <w:t>https://library.temple.edu/pages/9</w:t>
        </w:r>
      </w:hyperlink>
      <w:r w:rsidRPr="0016235B">
        <w:rPr>
          <w:sz w:val="24"/>
          <w:szCs w:val="24"/>
        </w:rPr>
        <w:t>).  One of the TU Libraries’ “Operating Principles” includes a commitment to “evidence-based planning, decision-making, financial stewardship, and management and to the regular evaluation of organizational performance in addressing the education, research, and civic and cultural outreach needs and priorities of Temple University at large” (</w:t>
      </w:r>
      <w:hyperlink r:id="rId6">
        <w:r w:rsidRPr="0016235B">
          <w:rPr>
            <w:color w:val="1155CC"/>
            <w:sz w:val="24"/>
            <w:szCs w:val="24"/>
            <w:u w:val="single"/>
          </w:rPr>
          <w:t>https://library.temple.edu/pages/10</w:t>
        </w:r>
      </w:hyperlink>
      <w:r>
        <w:rPr>
          <w:sz w:val="24"/>
          <w:szCs w:val="24"/>
        </w:rPr>
        <w:t xml:space="preserve">).  The Charles Library serves as the main library for TU; other libraries include Health Sciences and Law.  </w:t>
      </w:r>
    </w:p>
    <w:p w14:paraId="50E5D516" w14:textId="77777777" w:rsidR="00FE0208" w:rsidRDefault="00FE0208" w:rsidP="00FE0208">
      <w:pPr>
        <w:spacing w:line="360" w:lineRule="auto"/>
        <w:ind w:firstLine="720"/>
        <w:rPr>
          <w:sz w:val="24"/>
          <w:szCs w:val="24"/>
        </w:rPr>
      </w:pPr>
      <w:r>
        <w:rPr>
          <w:sz w:val="24"/>
          <w:szCs w:val="24"/>
        </w:rPr>
        <w:t xml:space="preserve">For this profile an interview was conducted with Nancy Turner, Associate Director for Organizational Research and Strategy Alignment.  Before beginning this role, she was the Librarian for Assessment and Organization Performance.   Turner has been at Temple for about five years, and some of her guiding questions have been:  “How can we improve?  Are we being efficient?  How can we come together as an organization to develop a culture of assessment?”  In her role, Turner is responsible for coordinating the Libraries’ assessment activities.  As part of her position, she consults with library staff who are interested in engaging with assessment projects and helps people develop projects based on their questions and what they want to </w:t>
      </w:r>
      <w:r>
        <w:rPr>
          <w:sz w:val="24"/>
          <w:szCs w:val="24"/>
        </w:rPr>
        <w:lastRenderedPageBreak/>
        <w:t>understand about users.  She trains people on assessment methods, such as interviewing and focus group facilitation, and often leads as an ‘expert’ on assessment projects.  She is also in charge of the statistics and metrics that the library collects and reports, and takes the lead on any large, library- or university-wide projects, such as Ithaka S+R (</w:t>
      </w:r>
      <w:hyperlink r:id="rId7">
        <w:r>
          <w:rPr>
            <w:color w:val="1155CC"/>
            <w:sz w:val="24"/>
            <w:szCs w:val="24"/>
            <w:u w:val="single"/>
          </w:rPr>
          <w:t>https://sr.ithaka.org/</w:t>
        </w:r>
      </w:hyperlink>
      <w:r>
        <w:rPr>
          <w:sz w:val="24"/>
          <w:szCs w:val="24"/>
        </w:rPr>
        <w:t>) or ARL (</w:t>
      </w:r>
      <w:hyperlink r:id="rId8">
        <w:r>
          <w:rPr>
            <w:color w:val="1155CC"/>
            <w:sz w:val="24"/>
            <w:szCs w:val="24"/>
            <w:u w:val="single"/>
          </w:rPr>
          <w:t>https://www.arlstatistics.org/home</w:t>
        </w:r>
      </w:hyperlink>
      <w:r>
        <w:rPr>
          <w:sz w:val="24"/>
          <w:szCs w:val="24"/>
        </w:rPr>
        <w:t xml:space="preserve">).    </w:t>
      </w:r>
    </w:p>
    <w:p w14:paraId="1C2C87A8" w14:textId="77777777" w:rsidR="00FE0208" w:rsidRDefault="00FE0208" w:rsidP="00FE0208">
      <w:pPr>
        <w:spacing w:line="360" w:lineRule="auto"/>
        <w:rPr>
          <w:sz w:val="24"/>
          <w:szCs w:val="24"/>
        </w:rPr>
      </w:pPr>
    </w:p>
    <w:p w14:paraId="735D09A0" w14:textId="77777777" w:rsidR="00FE0208" w:rsidRDefault="00FE0208" w:rsidP="00FE0208">
      <w:pPr>
        <w:pStyle w:val="Heading2"/>
        <w:spacing w:line="360" w:lineRule="auto"/>
      </w:pPr>
      <w:bookmarkStart w:id="2" w:name="_Toc45874561"/>
      <w:r>
        <w:t>Assessment at TU Libraries</w:t>
      </w:r>
      <w:bookmarkEnd w:id="2"/>
    </w:p>
    <w:p w14:paraId="534737E9" w14:textId="77777777" w:rsidR="00FE0208" w:rsidRDefault="00FE0208" w:rsidP="00FE0208">
      <w:pPr>
        <w:spacing w:line="360" w:lineRule="auto"/>
        <w:rPr>
          <w:sz w:val="24"/>
          <w:szCs w:val="24"/>
        </w:rPr>
      </w:pPr>
    </w:p>
    <w:p w14:paraId="6E38B7FD" w14:textId="77777777" w:rsidR="00FE0208" w:rsidRDefault="00FE0208" w:rsidP="00FE0208">
      <w:pPr>
        <w:spacing w:line="360" w:lineRule="auto"/>
        <w:ind w:firstLine="720"/>
        <w:rPr>
          <w:sz w:val="24"/>
          <w:szCs w:val="24"/>
        </w:rPr>
      </w:pPr>
      <w:r>
        <w:rPr>
          <w:sz w:val="24"/>
          <w:szCs w:val="24"/>
        </w:rPr>
        <w:t xml:space="preserve">There are several strands to the work of assessment at TU Libraries.  Strategic planning is an integral part of the Libraries’ assessment efforts.  Turner works with department heads to ensure that as they develop goals for the year, these goals are in alignment with the overall library strategic actions and directions.  She coaches the leaders of the strategic steering teams (cross-departmental teams focused on programmatic areas without specific administrative departments) on strategic planning.  For example, there are teams focused on research data management services and scholarly communication.  First, the teams complete environmental scans by examining the organization and what other libraries are doing.  Then they autonomously develop their priorities for the year.  Turner appreciates these groups because they are responsible, once formed, for creating their own ‘charges’ or missions. </w:t>
      </w:r>
    </w:p>
    <w:p w14:paraId="10F756A8" w14:textId="77777777" w:rsidR="00FE0208" w:rsidRDefault="00FE0208" w:rsidP="00FE0208">
      <w:pPr>
        <w:spacing w:line="360" w:lineRule="auto"/>
        <w:ind w:firstLine="720"/>
        <w:rPr>
          <w:sz w:val="24"/>
          <w:szCs w:val="24"/>
        </w:rPr>
      </w:pPr>
      <w:r>
        <w:rPr>
          <w:sz w:val="24"/>
          <w:szCs w:val="24"/>
        </w:rPr>
        <w:t xml:space="preserve">One of the largest and most far-reaching assessment projects that the Libraries have undertaken is one that Turner has titled ‘Envisioning our Future.’  This project was developed in response to an ARL request for research proposals.  Turner recalls that ARL asked libraries to address:  “How do learning spaces in libraries impact the university?  How does a library have impact insofar as it provides these new kinds of learning space?”  Turner elected to modify the questions to focus more on library staff.  They had just finished construction on a brand-new library (Charles) and she proposed to ask, “How do we support our staff in supporting users of these new kinds of learning spaces?  How do we support librarians in learning how to talk with and work with faculty in using these spaces in different ways?”  In her experience, facilities </w:t>
      </w:r>
      <w:r>
        <w:rPr>
          <w:sz w:val="24"/>
          <w:szCs w:val="24"/>
        </w:rPr>
        <w:lastRenderedPageBreak/>
        <w:t xml:space="preserve">planning often overlooks how to support staff in using new facilities.  To address these issues, Turner’s team of about 8 librarians interviewed 29 library staff at all levels of the organization.  Turner trained her team on how to conduct semi-structured interviews.  In the interviews they asked staff how they imagined that their work with users and colleagues would change as they moved to a radically different library space, which included: new learning environments, including a flexible classroom; a collection that is now mostly housed in automated storage retrieval systems; and an open floor plan with very few private offices.  </w:t>
      </w:r>
    </w:p>
    <w:p w14:paraId="7BC41450" w14:textId="77777777" w:rsidR="00FE0208" w:rsidRDefault="00FE0208" w:rsidP="00FE0208">
      <w:pPr>
        <w:spacing w:line="360" w:lineRule="auto"/>
        <w:ind w:firstLine="720"/>
        <w:rPr>
          <w:sz w:val="24"/>
          <w:szCs w:val="24"/>
        </w:rPr>
      </w:pPr>
      <w:r>
        <w:rPr>
          <w:sz w:val="24"/>
          <w:szCs w:val="24"/>
        </w:rPr>
        <w:t xml:space="preserve">They heard from interviewees that staff did not feel involved enough in the planning process.  As a result of this project, Turner is trying to create a structure for more library staff to be involved in an evaluation of how the new building is working for staff as they work to support users.  </w:t>
      </w:r>
    </w:p>
    <w:p w14:paraId="2C4C447D" w14:textId="77777777" w:rsidR="00FE0208" w:rsidRDefault="00FE0208" w:rsidP="00FE0208">
      <w:pPr>
        <w:spacing w:line="360" w:lineRule="auto"/>
        <w:ind w:firstLine="720"/>
        <w:rPr>
          <w:sz w:val="24"/>
          <w:szCs w:val="24"/>
        </w:rPr>
      </w:pPr>
      <w:r>
        <w:rPr>
          <w:sz w:val="24"/>
          <w:szCs w:val="24"/>
        </w:rPr>
        <w:t xml:space="preserve">To continue the project and to address those concerns, they will conduct more interviews in about six months.  In the follow-up interviews they will ask questions such as:  “Did the things you were concerned about happen?  What are the ways in which you work with colleagues differently?”  Turner has already found that workflows have changed in a number of ways.  Librarians now have to find consultation rooms to work with patrons; people no longer work at the reference desk because they moved to a single-service desk model; and everyone is working with users and colleagues in very different ways.  They are already being creative in addressing some of these changes. </w:t>
      </w:r>
    </w:p>
    <w:p w14:paraId="04EC39F8" w14:textId="77777777" w:rsidR="00FE0208" w:rsidRDefault="00FE0208" w:rsidP="00FE0208">
      <w:pPr>
        <w:spacing w:line="360" w:lineRule="auto"/>
        <w:ind w:firstLine="720"/>
        <w:rPr>
          <w:sz w:val="24"/>
          <w:szCs w:val="24"/>
        </w:rPr>
      </w:pPr>
      <w:r>
        <w:rPr>
          <w:sz w:val="24"/>
          <w:szCs w:val="24"/>
        </w:rPr>
        <w:t xml:space="preserve"> For example, Turner recently conducted a series of ‘norms’ workshops, in which staff talked about workplace norms and expectations.  She really enjoyed that process, because “it wasn’t about setting policy, but more about having conversations about what works, what interferes with work, and making sure everyone was on the same page.”  </w:t>
      </w:r>
    </w:p>
    <w:p w14:paraId="626A2B56" w14:textId="7578884D" w:rsidR="00B16178" w:rsidRDefault="00FE0208" w:rsidP="00FE0208">
      <w:r>
        <w:rPr>
          <w:sz w:val="24"/>
          <w:szCs w:val="24"/>
        </w:rPr>
        <w:t>Now they plan to engage everyone in the assessment and “tweaking” of</w:t>
      </w:r>
    </w:p>
    <w:sectPr w:rsidR="00B161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398"/>
    <w:rsid w:val="006264B8"/>
    <w:rsid w:val="00776398"/>
    <w:rsid w:val="007F576D"/>
    <w:rsid w:val="00B16178"/>
    <w:rsid w:val="00FE0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9DEA6"/>
  <w15:chartTrackingRefBased/>
  <w15:docId w15:val="{60226C71-6928-4527-BE83-7F2867907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398"/>
    <w:pPr>
      <w:spacing w:after="200" w:line="276" w:lineRule="auto"/>
    </w:pPr>
    <w:rPr>
      <w:rFonts w:eastAsiaTheme="minorEastAsia"/>
      <w:lang w:val="en"/>
    </w:rPr>
  </w:style>
  <w:style w:type="paragraph" w:styleId="Heading1">
    <w:name w:val="heading 1"/>
    <w:basedOn w:val="Normal"/>
    <w:next w:val="Normal"/>
    <w:link w:val="Heading1Char"/>
    <w:uiPriority w:val="9"/>
    <w:qFormat/>
    <w:rsid w:val="00776398"/>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FE02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398"/>
    <w:rPr>
      <w:rFonts w:asciiTheme="majorHAnsi" w:eastAsiaTheme="majorEastAsia" w:hAnsiTheme="majorHAnsi" w:cstheme="majorBidi"/>
      <w:b/>
      <w:bCs/>
      <w:sz w:val="28"/>
      <w:szCs w:val="28"/>
      <w:lang w:val="en"/>
    </w:rPr>
  </w:style>
  <w:style w:type="paragraph" w:styleId="TOCHeading">
    <w:name w:val="TOC Heading"/>
    <w:basedOn w:val="Heading1"/>
    <w:next w:val="Normal"/>
    <w:uiPriority w:val="39"/>
    <w:unhideWhenUsed/>
    <w:qFormat/>
    <w:rsid w:val="00776398"/>
    <w:pPr>
      <w:outlineLvl w:val="9"/>
    </w:pPr>
    <w:rPr>
      <w:lang w:bidi="en-US"/>
    </w:rPr>
  </w:style>
  <w:style w:type="paragraph" w:styleId="TOC1">
    <w:name w:val="toc 1"/>
    <w:basedOn w:val="Normal"/>
    <w:next w:val="Normal"/>
    <w:autoRedefine/>
    <w:uiPriority w:val="39"/>
    <w:unhideWhenUsed/>
    <w:rsid w:val="00776398"/>
    <w:pPr>
      <w:spacing w:after="100"/>
    </w:pPr>
  </w:style>
  <w:style w:type="paragraph" w:styleId="TOC2">
    <w:name w:val="toc 2"/>
    <w:basedOn w:val="Normal"/>
    <w:next w:val="Normal"/>
    <w:autoRedefine/>
    <w:uiPriority w:val="39"/>
    <w:unhideWhenUsed/>
    <w:rsid w:val="00776398"/>
    <w:pPr>
      <w:spacing w:after="100"/>
      <w:ind w:left="220"/>
    </w:pPr>
  </w:style>
  <w:style w:type="character" w:styleId="Hyperlink">
    <w:name w:val="Hyperlink"/>
    <w:basedOn w:val="DefaultParagraphFont"/>
    <w:uiPriority w:val="99"/>
    <w:unhideWhenUsed/>
    <w:rsid w:val="00776398"/>
    <w:rPr>
      <w:color w:val="0563C1" w:themeColor="hyperlink"/>
      <w:u w:val="single"/>
    </w:rPr>
  </w:style>
  <w:style w:type="character" w:customStyle="1" w:styleId="Heading2Char">
    <w:name w:val="Heading 2 Char"/>
    <w:basedOn w:val="DefaultParagraphFont"/>
    <w:link w:val="Heading2"/>
    <w:uiPriority w:val="9"/>
    <w:semiHidden/>
    <w:rsid w:val="00FE0208"/>
    <w:rPr>
      <w:rFonts w:asciiTheme="majorHAnsi" w:eastAsiaTheme="majorEastAsia" w:hAnsiTheme="majorHAnsi" w:cstheme="majorBidi"/>
      <w:color w:val="2F5496" w:themeColor="accent1" w:themeShade="BF"/>
      <w:sz w:val="26"/>
      <w:szCs w:val="26"/>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statistics.org/home" TargetMode="External"/><Relationship Id="rId3" Type="http://schemas.openxmlformats.org/officeDocument/2006/relationships/webSettings" Target="webSettings.xml"/><Relationship Id="rId7" Type="http://schemas.openxmlformats.org/officeDocument/2006/relationships/hyperlink" Target="https://sr.ithak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brary.temple.edu/pages/10" TargetMode="External"/><Relationship Id="rId5" Type="http://schemas.openxmlformats.org/officeDocument/2006/relationships/hyperlink" Target="https://library.temple.edu/pages/9" TargetMode="External"/><Relationship Id="rId10" Type="http://schemas.openxmlformats.org/officeDocument/2006/relationships/theme" Target="theme/theme1.xml"/><Relationship Id="rId4" Type="http://schemas.openxmlformats.org/officeDocument/2006/relationships/hyperlink" Target="https://www.temple.edu/about/history-tradi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944</Words>
  <Characters>5387</Characters>
  <Application>Microsoft Office Word</Application>
  <DocSecurity>0</DocSecurity>
  <Lines>44</Lines>
  <Paragraphs>12</Paragraphs>
  <ScaleCrop>false</ScaleCrop>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4</cp:revision>
  <dcterms:created xsi:type="dcterms:W3CDTF">2020-07-17T15:11:00Z</dcterms:created>
  <dcterms:modified xsi:type="dcterms:W3CDTF">2020-07-17T15:14:00Z</dcterms:modified>
</cp:coreProperties>
</file>